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0E93E434" w:rsidR="00F64786" w:rsidRPr="001A6F12" w:rsidRDefault="00117DA2" w:rsidP="0077673A">
            <w:pPr>
              <w:rPr>
                <w:szCs w:val="14"/>
              </w:rPr>
            </w:pPr>
            <w:r>
              <w:rPr>
                <w:szCs w:val="14"/>
              </w:rPr>
              <w:t xml:space="preserve"> </w: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727CF3B1" w:rsidR="00F862D6" w:rsidRPr="001A6F12" w:rsidRDefault="005C7112" w:rsidP="0037111D">
            <w:pPr>
              <w:rPr>
                <w:szCs w:val="14"/>
              </w:rPr>
            </w:pPr>
            <w:r w:rsidRPr="003D5599">
              <w:rPr>
                <w:szCs w:val="14"/>
              </w:rPr>
              <w:t>2</w:t>
            </w:r>
            <w:r w:rsidR="00811FE1" w:rsidRPr="003D5599">
              <w:rPr>
                <w:szCs w:val="14"/>
              </w:rPr>
              <w:t>9</w:t>
            </w:r>
            <w:r w:rsidR="003D5599" w:rsidRPr="003D5599">
              <w:rPr>
                <w:szCs w:val="14"/>
              </w:rPr>
              <w:t>93</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2148899" w:rsidR="00F862D6" w:rsidRPr="001A6F12" w:rsidRDefault="008A5E28" w:rsidP="00CC1E2B">
            <w:pPr>
              <w:rPr>
                <w:szCs w:val="14"/>
              </w:rPr>
            </w:pPr>
            <w:r w:rsidRPr="00204C1E">
              <w:rPr>
                <w:szCs w:val="14"/>
              </w:rPr>
              <w:t>11</w:t>
            </w:r>
            <w:r w:rsidR="003E6B9A" w:rsidRPr="00204C1E">
              <w:rPr>
                <w:szCs w:val="14"/>
              </w:rPr>
              <w:t>/</w:t>
            </w:r>
            <w:r w:rsidR="005C7112">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BAFC472" w:rsidR="00F862D6" w:rsidRPr="001A6F12" w:rsidRDefault="005C711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24AF2B" w:rsidR="009A7568" w:rsidRPr="001A6F12" w:rsidRDefault="005C711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C324605" w:rsidR="009A7568" w:rsidRPr="001A6F12" w:rsidRDefault="005C711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48A0435B" w:rsidR="009A7568" w:rsidRPr="001A6F12" w:rsidRDefault="00117DA2" w:rsidP="009A7568">
            <w:pPr>
              <w:rPr>
                <w:szCs w:val="14"/>
              </w:rPr>
            </w:pPr>
            <w:r>
              <w:rPr>
                <w:szCs w:val="14"/>
              </w:rPr>
              <w:t>25.</w:t>
            </w:r>
            <w:r w:rsidRPr="00830750">
              <w:rPr>
                <w:szCs w:val="14"/>
              </w:rPr>
              <w:t xml:space="preserve"> </w:t>
            </w:r>
            <w:r w:rsidR="008866DB">
              <w:rPr>
                <w:szCs w:val="14"/>
              </w:rPr>
              <w:t>3</w:t>
            </w:r>
            <w:r w:rsidR="005C7112" w:rsidRPr="00830750">
              <w:rPr>
                <w:szCs w:val="14"/>
              </w:rPr>
              <w:t xml:space="preserve">. </w:t>
            </w:r>
            <w:r w:rsidR="005C7112">
              <w:rPr>
                <w:szCs w:val="14"/>
              </w:rPr>
              <w:t>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08D7683D" w:rsidR="00F01FED" w:rsidRPr="004C369B" w:rsidRDefault="0066034C" w:rsidP="00F01FED">
      <w:pPr>
        <w:widowControl w:val="0"/>
        <w:autoSpaceDE w:val="0"/>
        <w:autoSpaceDN w:val="0"/>
        <w:spacing w:after="0" w:line="240" w:lineRule="auto"/>
        <w:rPr>
          <w:rFonts w:eastAsia="Times New Roman" w:cs="Times New Roman"/>
          <w:b/>
          <w:bCs/>
          <w:i/>
          <w:color w:val="FF0000"/>
          <w:lang w:eastAsia="cs-CZ"/>
        </w:rPr>
      </w:pPr>
      <w:r>
        <w:rPr>
          <w:rFonts w:eastAsia="Times New Roman" w:cs="Arial"/>
          <w:b/>
          <w:bCs/>
          <w:lang w:eastAsia="cs-CZ"/>
        </w:rPr>
        <w:t xml:space="preserve">Technická pomoc investorovi při realizaci </w:t>
      </w:r>
      <w:r w:rsidR="004C369B" w:rsidRPr="004C369B">
        <w:rPr>
          <w:rFonts w:eastAsia="Times New Roman" w:cs="Arial"/>
          <w:b/>
          <w:bCs/>
          <w:lang w:eastAsia="cs-CZ"/>
        </w:rPr>
        <w:t>stavb</w:t>
      </w:r>
      <w:r>
        <w:rPr>
          <w:rFonts w:eastAsia="Times New Roman" w:cs="Arial"/>
          <w:b/>
          <w:bCs/>
          <w:lang w:eastAsia="cs-CZ"/>
        </w:rPr>
        <w:t>y (dále jen „TPI“)</w:t>
      </w:r>
    </w:p>
    <w:p w14:paraId="3E7C6E70" w14:textId="72E05F45" w:rsidR="00FC44E6" w:rsidRPr="00FC44E6" w:rsidRDefault="00FC44E6" w:rsidP="00832521">
      <w:pPr>
        <w:widowControl w:val="0"/>
        <w:autoSpaceDE w:val="0"/>
        <w:autoSpaceDN w:val="0"/>
        <w:spacing w:before="120"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911C2" w:rsidRPr="000E48E8">
        <w:rPr>
          <w:rFonts w:eastAsia="Times New Roman" w:cs="Arial"/>
          <w:b/>
          <w:bCs/>
          <w:color w:val="000000"/>
          <w:lang w:eastAsia="cs-CZ"/>
        </w:rPr>
        <w:t>Modernizace trati Brno-Přerov, 4. stavba Nezamyslice – Kojetín</w:t>
      </w:r>
      <w:r w:rsidRPr="00FC44E6">
        <w:rPr>
          <w:rFonts w:eastAsia="Times New Roman" w:cs="Times New Roman"/>
          <w:b/>
          <w:lang w:eastAsia="cs-CZ"/>
        </w:rPr>
        <w:t>“</w:t>
      </w:r>
    </w:p>
    <w:p w14:paraId="46A58EA3" w14:textId="4744DBF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C369B" w:rsidRPr="00832521">
        <w:rPr>
          <w:rFonts w:eastAsia="Times New Roman" w:cs="Times New Roman"/>
          <w:lang w:eastAsia="cs-CZ"/>
        </w:rPr>
        <w:t>617250</w:t>
      </w:r>
      <w:r w:rsidR="003D631C" w:rsidRPr="00832521">
        <w:rPr>
          <w:rFonts w:eastAsia="Times New Roman" w:cs="Times New Roman"/>
          <w:lang w:eastAsia="cs-CZ"/>
        </w:rPr>
        <w:t>2</w:t>
      </w:r>
      <w:r w:rsidR="00117DA2" w:rsidRPr="00832521">
        <w:rPr>
          <w:rFonts w:eastAsia="Times New Roman" w:cs="Times New Roman"/>
          <w:lang w:eastAsia="cs-CZ"/>
        </w:rPr>
        <w:t>5</w:t>
      </w:r>
      <w:r w:rsidRPr="00FC44E6">
        <w:rPr>
          <w:rFonts w:eastAsia="Times New Roman" w:cs="Times New Roman"/>
          <w:lang w:eastAsia="cs-CZ"/>
        </w:rPr>
        <w:t>)</w:t>
      </w:r>
    </w:p>
    <w:p w14:paraId="35E979D8" w14:textId="1F56DDBA"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832521">
      <w:pPr>
        <w:widowControl w:val="0"/>
        <w:autoSpaceDE w:val="0"/>
        <w:autoSpaceDN w:val="0"/>
        <w:spacing w:after="120" w:line="240" w:lineRule="auto"/>
        <w:jc w:val="both"/>
        <w:rPr>
          <w:rFonts w:eastAsia="Times New Roman" w:cs="Times New Roman"/>
          <w:i/>
          <w:lang w:eastAsia="cs-CZ"/>
        </w:rPr>
      </w:pPr>
      <w:r w:rsidRPr="004C369B">
        <w:rPr>
          <w:rFonts w:eastAsia="Times New Roman" w:cs="Times New Roman"/>
          <w:i/>
          <w:lang w:eastAsia="cs-CZ"/>
        </w:rPr>
        <w:t>U této zakázky se předpokládá, že bude financována z prostředků Státního fondu dopravní infrastruktury.</w:t>
      </w: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64D1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535711B8" w14:textId="53DAF13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C369B">
        <w:rPr>
          <w:rFonts w:eastAsia="Times New Roman" w:cs="Arial"/>
          <w:lang w:eastAsia="cs-CZ"/>
        </w:rPr>
        <w:t>Ing. Jaromír Souček</w:t>
      </w:r>
      <w:r w:rsidRPr="00FC44E6">
        <w:rPr>
          <w:rFonts w:eastAsia="Times New Roman" w:cs="Times New Roman"/>
          <w:lang w:eastAsia="cs-CZ"/>
        </w:rPr>
        <w:t>, telefon:</w:t>
      </w:r>
      <w:r w:rsidR="004C369B">
        <w:rPr>
          <w:rFonts w:eastAsia="Times New Roman" w:cs="Times New Roman"/>
          <w:lang w:eastAsia="cs-CZ"/>
        </w:rPr>
        <w:t xml:space="preserve"> +420 724 932 283</w:t>
      </w:r>
      <w:r w:rsidRPr="00FC44E6">
        <w:rPr>
          <w:rFonts w:eastAsia="Times New Roman" w:cs="Times New Roman"/>
          <w:lang w:eastAsia="cs-CZ"/>
        </w:rPr>
        <w:t xml:space="preserve">, e-mail: </w:t>
      </w:r>
      <w:r w:rsidR="004C369B">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204C1E">
      <w:pPr>
        <w:numPr>
          <w:ilvl w:val="0"/>
          <w:numId w:val="6"/>
        </w:numPr>
        <w:tabs>
          <w:tab w:val="num" w:pos="426"/>
        </w:tabs>
        <w:spacing w:before="36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204C1E">
      <w:pPr>
        <w:pStyle w:val="Odstavecseseznamem"/>
        <w:numPr>
          <w:ilvl w:val="1"/>
          <w:numId w:val="39"/>
        </w:numPr>
        <w:tabs>
          <w:tab w:val="left" w:pos="1985"/>
        </w:tabs>
        <w:spacing w:before="120" w:after="0" w:line="240" w:lineRule="auto"/>
        <w:ind w:left="850"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364D1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364D1A">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97D8BC6"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3A5FD6" w:rsidRPr="00117DA2">
        <w:rPr>
          <w:rFonts w:eastAsia="Times New Roman" w:cs="Times New Roman"/>
          <w:b/>
          <w:bCs/>
          <w:lang w:eastAsia="cs-CZ"/>
        </w:rPr>
        <w:t>6</w:t>
      </w:r>
      <w:r w:rsidR="0066034C" w:rsidRPr="00117DA2">
        <w:rPr>
          <w:rFonts w:eastAsia="Times New Roman" w:cs="Times New Roman"/>
          <w:b/>
          <w:bCs/>
          <w:lang w:eastAsia="cs-CZ"/>
        </w:rPr>
        <w:t xml:space="preserve"> 3</w:t>
      </w:r>
      <w:r w:rsidR="003A5FD6" w:rsidRPr="00117DA2">
        <w:rPr>
          <w:rFonts w:eastAsia="Times New Roman" w:cs="Times New Roman"/>
          <w:b/>
          <w:bCs/>
          <w:lang w:eastAsia="cs-CZ"/>
        </w:rPr>
        <w:t>36</w:t>
      </w:r>
      <w:r w:rsidR="008911C2" w:rsidRPr="00117DA2">
        <w:rPr>
          <w:rFonts w:eastAsia="Times New Roman" w:cs="Times New Roman"/>
          <w:b/>
          <w:bCs/>
          <w:lang w:eastAsia="cs-CZ"/>
        </w:rPr>
        <w:t xml:space="preserve">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5B599808" w14:textId="77777777" w:rsidR="00F24DBC" w:rsidRDefault="00F71D74" w:rsidP="00832521">
      <w:pPr>
        <w:spacing w:before="120" w:after="0" w:line="240" w:lineRule="auto"/>
        <w:ind w:left="425"/>
        <w:rPr>
          <w:rFonts w:eastAsia="Times New Roman" w:cs="Arial"/>
          <w:lang w:eastAsia="cs-CZ"/>
        </w:rPr>
      </w:pPr>
      <w:r w:rsidRPr="00FC44E6">
        <w:rPr>
          <w:rFonts w:eastAsia="Times New Roman" w:cs="Times New Roman"/>
          <w:b/>
          <w:lang w:eastAsia="cs-CZ"/>
        </w:rPr>
        <w:t>Předmětem VZ je</w:t>
      </w:r>
      <w:r w:rsidR="00364D1A">
        <w:rPr>
          <w:rFonts w:eastAsia="Times New Roman" w:cs="Times New Roman"/>
          <w:b/>
          <w:lang w:eastAsia="cs-CZ"/>
        </w:rPr>
        <w:t xml:space="preserve"> </w:t>
      </w:r>
      <w:r w:rsidR="00F24DBC" w:rsidRPr="00853B35">
        <w:rPr>
          <w:rFonts w:eastAsia="Times New Roman" w:cs="Arial"/>
          <w:lang w:eastAsia="cs-CZ"/>
        </w:rPr>
        <w:t xml:space="preserve">technická pomoc investorovi při realizaci stavby </w:t>
      </w:r>
      <w:r w:rsidR="00F24DBC" w:rsidRPr="009C5DC5">
        <w:rPr>
          <w:rFonts w:eastAsia="Times New Roman" w:cs="Arial"/>
          <w:b/>
          <w:bCs/>
          <w:lang w:eastAsia="cs-CZ"/>
        </w:rPr>
        <w:t>„Modernizace trati Brno-Přerov, 4. stavba Nezamyslice – Kojetín“</w:t>
      </w:r>
      <w:r w:rsidR="00F24DBC">
        <w:rPr>
          <w:rFonts w:eastAsia="Times New Roman" w:cs="Arial"/>
          <w:b/>
          <w:bCs/>
          <w:lang w:eastAsia="cs-CZ"/>
        </w:rPr>
        <w:t>.</w:t>
      </w:r>
      <w:r w:rsidR="00F24DBC" w:rsidRPr="00853B35">
        <w:rPr>
          <w:rFonts w:eastAsia="Times New Roman" w:cs="Arial"/>
          <w:b/>
          <w:lang w:eastAsia="cs-CZ"/>
        </w:rPr>
        <w:t xml:space="preserve"> </w:t>
      </w:r>
      <w:r w:rsidR="00F24DBC"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7844DA43" w14:textId="77777777" w:rsidR="00F24DBC" w:rsidRPr="00393E24" w:rsidRDefault="00F24DBC" w:rsidP="00F24DBC">
      <w:pPr>
        <w:spacing w:before="60" w:after="0" w:line="240" w:lineRule="auto"/>
        <w:ind w:left="425"/>
        <w:rPr>
          <w:rFonts w:eastAsia="Times New Roman" w:cs="Arial"/>
          <w:b/>
          <w:bCs/>
          <w:lang w:eastAsia="cs-CZ"/>
        </w:rPr>
      </w:pPr>
    </w:p>
    <w:p w14:paraId="172A40C7" w14:textId="77777777" w:rsidR="00F24DBC" w:rsidRPr="00853B35" w:rsidRDefault="00F24DBC" w:rsidP="00F24DBC">
      <w:pPr>
        <w:spacing w:after="0" w:line="240" w:lineRule="auto"/>
        <w:ind w:left="426"/>
        <w:rPr>
          <w:rFonts w:eastAsia="Times New Roman" w:cs="Arial"/>
          <w:lang w:eastAsia="cs-CZ"/>
        </w:rPr>
      </w:pPr>
      <w:r w:rsidRPr="00853B35">
        <w:rPr>
          <w:rFonts w:eastAsia="Times New Roman" w:cs="Arial"/>
          <w:lang w:eastAsia="cs-CZ"/>
        </w:rPr>
        <w:t>TPI rozhodně představuje:</w:t>
      </w:r>
    </w:p>
    <w:p w14:paraId="4B03CBEA" w14:textId="77777777" w:rsidR="00F24DBC" w:rsidRPr="00853B35" w:rsidRDefault="00F24DBC" w:rsidP="00F24DBC">
      <w:pPr>
        <w:numPr>
          <w:ilvl w:val="0"/>
          <w:numId w:val="45"/>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kontrola fakturace stavby,</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6BB29DA2" w14:textId="77777777" w:rsidR="00F24DBC" w:rsidRPr="00853B35" w:rsidRDefault="00F24DBC" w:rsidP="00F24DBC">
      <w:pPr>
        <w:numPr>
          <w:ilvl w:val="0"/>
          <w:numId w:val="45"/>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3E563096" w14:textId="77777777" w:rsidR="00F24DBC" w:rsidRPr="00853B35" w:rsidRDefault="00F24DBC" w:rsidP="00F24DBC">
      <w:pPr>
        <w:numPr>
          <w:ilvl w:val="0"/>
          <w:numId w:val="45"/>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0B92B127" w14:textId="77777777" w:rsidR="00F24DBC" w:rsidRPr="00853B35"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15A2E3A9" w14:textId="77777777" w:rsidR="00F24DBC" w:rsidRPr="00853B35"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2504909B" w14:textId="77777777" w:rsidR="00F24DBC" w:rsidRPr="00853B35"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3B2C455A" w14:textId="77777777" w:rsidR="00F24DBC" w:rsidRPr="00853B35"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2C6D6CA2" w14:textId="77777777" w:rsidR="00F24DBC" w:rsidRPr="00853B35"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7CED3BA5" w14:textId="77777777" w:rsidR="00F24DBC" w:rsidRDefault="00F24DBC" w:rsidP="00F24DBC">
      <w:pPr>
        <w:numPr>
          <w:ilvl w:val="1"/>
          <w:numId w:val="45"/>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15F27F53" w14:textId="667D37D1" w:rsidR="007744EB" w:rsidRPr="00853B35" w:rsidRDefault="007744EB" w:rsidP="00F24DBC">
      <w:pPr>
        <w:numPr>
          <w:ilvl w:val="1"/>
          <w:numId w:val="45"/>
        </w:numPr>
        <w:spacing w:after="0" w:line="240" w:lineRule="auto"/>
        <w:rPr>
          <w:rFonts w:eastAsia="Times New Roman" w:cs="Arial"/>
          <w:lang w:eastAsia="cs-CZ"/>
        </w:rPr>
      </w:pPr>
      <w:r>
        <w:rPr>
          <w:rFonts w:eastAsia="Times New Roman" w:cs="Arial"/>
          <w:lang w:eastAsia="cs-CZ"/>
        </w:rPr>
        <w:t>kompletní posouzení nároku zhotovitele na valorizaci podle článku 13.8 smluvních podmínek FIDIC</w:t>
      </w:r>
      <w:r w:rsidR="0043153D">
        <w:rPr>
          <w:rFonts w:eastAsia="Times New Roman" w:cs="Arial"/>
          <w:lang w:eastAsia="cs-CZ"/>
        </w:rPr>
        <w:t>.</w:t>
      </w:r>
    </w:p>
    <w:p w14:paraId="34161D02" w14:textId="77777777" w:rsidR="00F24DBC" w:rsidRPr="00853B35" w:rsidRDefault="00F24DBC" w:rsidP="00F24DBC">
      <w:pPr>
        <w:spacing w:after="0" w:line="240" w:lineRule="auto"/>
        <w:rPr>
          <w:rFonts w:eastAsia="Times New Roman" w:cs="Arial"/>
          <w:b/>
          <w:lang w:eastAsia="cs-CZ"/>
        </w:rPr>
      </w:pPr>
    </w:p>
    <w:p w14:paraId="4F639723" w14:textId="77777777" w:rsidR="00F24DBC" w:rsidRPr="00853B35" w:rsidRDefault="00F24DBC" w:rsidP="00F24DBC">
      <w:pPr>
        <w:spacing w:after="0" w:line="240" w:lineRule="auto"/>
        <w:rPr>
          <w:rFonts w:eastAsia="Times New Roman" w:cs="Arial"/>
          <w:lang w:eastAsia="cs-CZ"/>
        </w:rPr>
      </w:pPr>
      <w:r w:rsidRPr="00853B35">
        <w:rPr>
          <w:rFonts w:eastAsia="Times New Roman" w:cs="Arial"/>
          <w:lang w:eastAsia="cs-CZ"/>
        </w:rPr>
        <w:lastRenderedPageBreak/>
        <w:t>Dílčí plnění – měsíčně na základě výkazu provedené a správcem stavby (TDS) potvrzené činnosti</w:t>
      </w:r>
    </w:p>
    <w:p w14:paraId="3AAA0982" w14:textId="77777777" w:rsidR="00F24DBC" w:rsidRPr="00853B35" w:rsidRDefault="00F24DBC" w:rsidP="00F24DBC">
      <w:pPr>
        <w:spacing w:after="0" w:line="240" w:lineRule="auto"/>
        <w:rPr>
          <w:rFonts w:eastAsia="Times New Roman" w:cs="Arial"/>
          <w:lang w:eastAsia="cs-CZ"/>
        </w:rPr>
      </w:pPr>
    </w:p>
    <w:p w14:paraId="283B9A5E" w14:textId="77777777" w:rsidR="00F24DBC" w:rsidRPr="00853B35" w:rsidRDefault="00F24DBC" w:rsidP="00F24DBC">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119DCF55" w14:textId="77777777" w:rsidR="00F24DBC" w:rsidRPr="00853B35" w:rsidRDefault="00F24DBC" w:rsidP="00F24DBC">
      <w:pPr>
        <w:spacing w:after="0" w:line="240" w:lineRule="auto"/>
        <w:rPr>
          <w:rFonts w:eastAsia="Times New Roman" w:cs="Arial"/>
          <w:lang w:eastAsia="cs-CZ"/>
        </w:rPr>
      </w:pPr>
    </w:p>
    <w:p w14:paraId="6E27B8C8" w14:textId="338C3E7B" w:rsidR="00F24DBC" w:rsidRPr="00853B35" w:rsidRDefault="00F24DBC" w:rsidP="00F24DBC">
      <w:pPr>
        <w:spacing w:after="0" w:line="240" w:lineRule="auto"/>
        <w:rPr>
          <w:rFonts w:eastAsia="Times New Roman" w:cs="Arial"/>
          <w:b/>
          <w:lang w:eastAsia="cs-CZ"/>
        </w:rPr>
      </w:pPr>
      <w:r w:rsidRPr="00853B35">
        <w:rPr>
          <w:rFonts w:eastAsia="Times New Roman" w:cs="Arial"/>
          <w:b/>
          <w:lang w:eastAsia="cs-CZ"/>
        </w:rPr>
        <w:t xml:space="preserve">Tabulka </w:t>
      </w:r>
      <w:r w:rsidR="001E275C">
        <w:rPr>
          <w:rFonts w:eastAsia="Times New Roman" w:cs="Arial"/>
          <w:b/>
          <w:lang w:eastAsia="cs-CZ"/>
        </w:rPr>
        <w:t>–</w:t>
      </w:r>
      <w:r w:rsidRPr="00853B35">
        <w:rPr>
          <w:rFonts w:eastAsia="Times New Roman" w:cs="Arial"/>
          <w:b/>
          <w:lang w:eastAsia="cs-CZ"/>
        </w:rPr>
        <w:t xml:space="preserve"> Předpokládaný rozsah prací</w:t>
      </w:r>
    </w:p>
    <w:p w14:paraId="04E8C6BF" w14:textId="77777777" w:rsidR="00F24DBC" w:rsidRPr="00853B35" w:rsidRDefault="00F24DBC" w:rsidP="00F24DBC">
      <w:pPr>
        <w:spacing w:after="0" w:line="240" w:lineRule="auto"/>
        <w:rPr>
          <w:rFonts w:eastAsia="Times New Roman" w:cs="Arial"/>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73"/>
        <w:gridCol w:w="1434"/>
        <w:gridCol w:w="1133"/>
        <w:gridCol w:w="1559"/>
        <w:gridCol w:w="1841"/>
      </w:tblGrid>
      <w:tr w:rsidR="00F24DBC" w:rsidRPr="00853B35" w14:paraId="4135795C" w14:textId="77777777" w:rsidTr="00F24DBC">
        <w:trPr>
          <w:trHeight w:val="55"/>
        </w:trPr>
        <w:tc>
          <w:tcPr>
            <w:tcW w:w="26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11D4B0D" w14:textId="77777777" w:rsidR="00F24DBC" w:rsidRPr="00853B35" w:rsidRDefault="00F24DBC" w:rsidP="001C4331">
            <w:pPr>
              <w:spacing w:after="0" w:line="240" w:lineRule="auto"/>
              <w:rPr>
                <w:rFonts w:eastAsia="Times New Roman" w:cs="Arial"/>
                <w:b/>
                <w:bCs/>
                <w:lang w:eastAsia="cs-CZ"/>
              </w:rPr>
            </w:pPr>
            <w:r w:rsidRPr="00853B35">
              <w:rPr>
                <w:rFonts w:eastAsia="Times New Roman" w:cs="Arial"/>
                <w:b/>
                <w:bCs/>
                <w:lang w:eastAsia="cs-CZ"/>
              </w:rPr>
              <w:t>Činnost</w:t>
            </w:r>
          </w:p>
        </w:tc>
        <w:tc>
          <w:tcPr>
            <w:tcW w:w="1434" w:type="dxa"/>
            <w:tcBorders>
              <w:top w:val="single" w:sz="4" w:space="0" w:color="auto"/>
              <w:left w:val="nil"/>
              <w:bottom w:val="single" w:sz="4" w:space="0" w:color="auto"/>
              <w:right w:val="single" w:sz="4" w:space="0" w:color="auto"/>
            </w:tcBorders>
            <w:hideMark/>
          </w:tcPr>
          <w:p w14:paraId="0BD51E5F" w14:textId="77777777" w:rsidR="00F24DBC" w:rsidRPr="00853B35" w:rsidRDefault="00F24DBC" w:rsidP="001C4331">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9FAE4AD" w14:textId="77777777" w:rsidR="00F24DBC" w:rsidRPr="00853B35" w:rsidRDefault="00F24DBC" w:rsidP="001C4331">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923833B" w14:textId="77777777" w:rsidR="00F24DBC" w:rsidRPr="00853B35" w:rsidRDefault="00F24DBC" w:rsidP="001C4331">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26E6C16" w14:textId="77777777" w:rsidR="00F24DBC" w:rsidRPr="00853B35" w:rsidRDefault="00F24DBC" w:rsidP="001C4331">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F24DBC" w:rsidRPr="00853B35" w14:paraId="70A6366A" w14:textId="77777777" w:rsidTr="00F24DBC">
        <w:trPr>
          <w:trHeight w:val="66"/>
        </w:trPr>
        <w:tc>
          <w:tcPr>
            <w:tcW w:w="267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7D9171" w14:textId="77777777" w:rsidR="00F24DBC" w:rsidRPr="00853B35" w:rsidRDefault="00F24DBC" w:rsidP="001C4331">
            <w:pPr>
              <w:spacing w:after="0" w:line="240" w:lineRule="auto"/>
              <w:rPr>
                <w:rFonts w:eastAsia="Times New Roman" w:cs="Arial"/>
                <w:lang w:eastAsia="cs-CZ"/>
              </w:rPr>
            </w:pPr>
            <w:r w:rsidRPr="00853B35">
              <w:rPr>
                <w:rFonts w:eastAsia="Times New Roman" w:cs="Arial"/>
                <w:lang w:eastAsia="cs-CZ"/>
              </w:rPr>
              <w:t>Výkon TPI</w:t>
            </w:r>
          </w:p>
        </w:tc>
        <w:tc>
          <w:tcPr>
            <w:tcW w:w="1434" w:type="dxa"/>
            <w:tcBorders>
              <w:top w:val="single" w:sz="4" w:space="0" w:color="auto"/>
              <w:left w:val="nil"/>
              <w:bottom w:val="single" w:sz="4" w:space="0" w:color="auto"/>
              <w:right w:val="single" w:sz="4" w:space="0" w:color="auto"/>
            </w:tcBorders>
            <w:hideMark/>
          </w:tcPr>
          <w:p w14:paraId="5B417FC7" w14:textId="77777777" w:rsidR="00F24DBC" w:rsidRPr="00853B35" w:rsidRDefault="00F24DBC" w:rsidP="001C4331">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ACFEC6D" w14:textId="7848F84B" w:rsidR="00F24DBC" w:rsidRPr="00117DA2" w:rsidRDefault="003A5FD6" w:rsidP="001C4331">
            <w:pPr>
              <w:spacing w:after="0" w:line="240" w:lineRule="auto"/>
              <w:rPr>
                <w:rFonts w:eastAsia="Times New Roman" w:cs="Arial"/>
                <w:lang w:eastAsia="cs-CZ"/>
              </w:rPr>
            </w:pPr>
            <w:r w:rsidRPr="00117DA2">
              <w:rPr>
                <w:rFonts w:eastAsia="Times New Roman" w:cs="Times New Roman"/>
                <w:lang w:eastAsia="cs-CZ"/>
              </w:rPr>
              <w:t>5</w:t>
            </w:r>
            <w:r w:rsidR="00F24DBC" w:rsidRPr="00117DA2">
              <w:rPr>
                <w:rFonts w:eastAsia="Times New Roman" w:cs="Times New Roman"/>
                <w:lang w:eastAsia="cs-CZ"/>
              </w:rPr>
              <w:t xml:space="preserve"> </w:t>
            </w:r>
            <w:r w:rsidRPr="00117DA2">
              <w:rPr>
                <w:rFonts w:eastAsia="Times New Roman" w:cs="Times New Roman"/>
                <w:lang w:eastAsia="cs-CZ"/>
              </w:rPr>
              <w:t>2</w:t>
            </w:r>
            <w:r w:rsidR="003D5599" w:rsidRPr="00117DA2">
              <w:rPr>
                <w:rFonts w:eastAsia="Times New Roman" w:cs="Times New Roman"/>
                <w:lang w:eastAsia="cs-CZ"/>
              </w:rPr>
              <w:t>80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15AE0A76" w14:textId="77777777" w:rsidR="00F24DBC" w:rsidRPr="00853B35" w:rsidRDefault="00F24DBC" w:rsidP="001C4331">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50D403E5" w14:textId="77777777" w:rsidR="00F24DBC" w:rsidRPr="00853B35" w:rsidRDefault="00F24DBC" w:rsidP="001C4331">
            <w:pPr>
              <w:spacing w:after="0" w:line="240" w:lineRule="auto"/>
              <w:rPr>
                <w:rFonts w:eastAsia="Times New Roman" w:cs="Arial"/>
                <w:lang w:eastAsia="cs-CZ"/>
              </w:rPr>
            </w:pPr>
          </w:p>
        </w:tc>
      </w:tr>
      <w:tr w:rsidR="00F24DBC" w:rsidRPr="00853B35" w14:paraId="70EE7A74" w14:textId="77777777" w:rsidTr="00F24DBC">
        <w:trPr>
          <w:trHeight w:val="66"/>
        </w:trPr>
        <w:tc>
          <w:tcPr>
            <w:tcW w:w="267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38272A0" w14:textId="77777777" w:rsidR="00F24DBC" w:rsidRPr="00853B35" w:rsidRDefault="00F24DBC" w:rsidP="001C4331">
            <w:pPr>
              <w:spacing w:after="0" w:line="240" w:lineRule="auto"/>
              <w:rPr>
                <w:rFonts w:eastAsia="Times New Roman" w:cs="Arial"/>
                <w:lang w:eastAsia="cs-CZ"/>
              </w:rPr>
            </w:pPr>
            <w:r w:rsidRPr="00853B35">
              <w:rPr>
                <w:rFonts w:eastAsia="Times New Roman" w:cs="Arial"/>
                <w:lang w:eastAsia="cs-CZ"/>
              </w:rPr>
              <w:t>Celkem</w:t>
            </w:r>
          </w:p>
        </w:tc>
        <w:tc>
          <w:tcPr>
            <w:tcW w:w="1434" w:type="dxa"/>
            <w:tcBorders>
              <w:top w:val="single" w:sz="4" w:space="0" w:color="auto"/>
              <w:left w:val="nil"/>
              <w:bottom w:val="single" w:sz="4" w:space="0" w:color="auto"/>
              <w:right w:val="single" w:sz="4" w:space="0" w:color="auto"/>
            </w:tcBorders>
            <w:hideMark/>
          </w:tcPr>
          <w:p w14:paraId="2E74302E" w14:textId="77777777" w:rsidR="00F24DBC" w:rsidRPr="00853B35" w:rsidRDefault="00F24DBC" w:rsidP="001C4331">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A691633" w14:textId="38333234" w:rsidR="00F24DBC" w:rsidRPr="00117DA2" w:rsidRDefault="003A5FD6" w:rsidP="001C4331">
            <w:pPr>
              <w:spacing w:after="0" w:line="240" w:lineRule="auto"/>
              <w:rPr>
                <w:rFonts w:eastAsia="Times New Roman" w:cs="Arial"/>
                <w:lang w:eastAsia="cs-CZ"/>
              </w:rPr>
            </w:pPr>
            <w:r w:rsidRPr="00117DA2">
              <w:rPr>
                <w:rFonts w:eastAsia="Times New Roman" w:cs="Times New Roman"/>
                <w:lang w:eastAsia="cs-CZ"/>
              </w:rPr>
              <w:t>5</w:t>
            </w:r>
            <w:r w:rsidR="00F24DBC" w:rsidRPr="00117DA2">
              <w:rPr>
                <w:rFonts w:eastAsia="Times New Roman" w:cs="Times New Roman"/>
                <w:lang w:eastAsia="cs-CZ"/>
              </w:rPr>
              <w:t xml:space="preserve"> </w:t>
            </w:r>
            <w:r w:rsidRPr="00117DA2">
              <w:rPr>
                <w:rFonts w:eastAsia="Times New Roman" w:cs="Times New Roman"/>
                <w:lang w:eastAsia="cs-CZ"/>
              </w:rPr>
              <w:t>2</w:t>
            </w:r>
            <w:r w:rsidR="003D5599" w:rsidRPr="00117DA2">
              <w:rPr>
                <w:rFonts w:eastAsia="Times New Roman" w:cs="Times New Roman"/>
                <w:lang w:eastAsia="cs-CZ"/>
              </w:rPr>
              <w:t>80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C8572EC" w14:textId="77777777" w:rsidR="00F24DBC" w:rsidRPr="00853B35" w:rsidRDefault="00F24DBC" w:rsidP="001C4331">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5696C41D" w14:textId="77777777" w:rsidR="00F24DBC" w:rsidRPr="00853B35" w:rsidRDefault="00F24DBC" w:rsidP="001C4331">
            <w:pPr>
              <w:spacing w:after="0" w:line="240" w:lineRule="auto"/>
              <w:rPr>
                <w:rFonts w:eastAsia="Times New Roman" w:cs="Arial"/>
                <w:lang w:eastAsia="cs-CZ"/>
              </w:rPr>
            </w:pPr>
          </w:p>
        </w:tc>
      </w:tr>
    </w:tbl>
    <w:p w14:paraId="30F42066" w14:textId="07DC9FE4" w:rsidR="00364D1A" w:rsidRPr="00884582" w:rsidRDefault="00364D1A" w:rsidP="00F24DBC">
      <w:pPr>
        <w:spacing w:before="120" w:after="120" w:line="240" w:lineRule="auto"/>
        <w:ind w:left="425"/>
        <w:rPr>
          <w:rFonts w:eastAsia="Times New Roman" w:cs="Arial"/>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1E275C">
      <w:pPr>
        <w:pStyle w:val="Odstavecseseznamem"/>
        <w:numPr>
          <w:ilvl w:val="1"/>
          <w:numId w:val="39"/>
        </w:numPr>
        <w:tabs>
          <w:tab w:val="left" w:pos="1985"/>
        </w:tabs>
        <w:spacing w:after="120" w:line="240" w:lineRule="auto"/>
        <w:ind w:left="850"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1183D9A" w14:textId="6EEE2DAB" w:rsidR="008911C2" w:rsidRPr="008911C2" w:rsidRDefault="004C369B" w:rsidP="001E275C">
      <w:pPr>
        <w:spacing w:after="0" w:line="240" w:lineRule="auto"/>
        <w:ind w:left="426"/>
      </w:pPr>
      <w:r w:rsidRPr="00D52766">
        <w:rPr>
          <w:b/>
          <w:bCs/>
        </w:rPr>
        <w:t>kód CPV 71311230-2</w:t>
      </w:r>
      <w:r w:rsidRPr="00D52766">
        <w:t xml:space="preserve"> </w:t>
      </w:r>
      <w:r w:rsidR="009563E3" w:rsidRPr="00D52766">
        <w:t xml:space="preserve">- </w:t>
      </w:r>
      <w:r w:rsidRPr="00D52766">
        <w:t>Železniční stavitelství</w:t>
      </w:r>
    </w:p>
    <w:p w14:paraId="39C88C6D"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379E66A7" w:rsidR="004901A1"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Výzva k podání nabídky č. j. </w:t>
      </w:r>
      <w:r w:rsidR="003D5599">
        <w:rPr>
          <w:rFonts w:eastAsia="Times New Roman" w:cs="Times New Roman"/>
          <w:lang w:eastAsia="cs-CZ"/>
        </w:rPr>
        <w:t>2993</w:t>
      </w:r>
      <w:r w:rsidR="004C369B" w:rsidRPr="00364D1A">
        <w:rPr>
          <w:rFonts w:eastAsia="Times New Roman" w:cs="Times New Roman"/>
          <w:lang w:eastAsia="cs-CZ"/>
        </w:rPr>
        <w:t>/2025-SŽ-SSV-Ú3</w:t>
      </w:r>
      <w:r w:rsidRPr="00364D1A">
        <w:rPr>
          <w:rFonts w:eastAsia="Times New Roman" w:cs="Times New Roman"/>
          <w:lang w:eastAsia="cs-CZ"/>
        </w:rPr>
        <w:t xml:space="preserve"> ze dne </w:t>
      </w:r>
      <w:r w:rsidR="00117DA2" w:rsidRPr="00832521">
        <w:rPr>
          <w:rFonts w:eastAsia="Times New Roman" w:cs="Times New Roman"/>
          <w:lang w:eastAsia="cs-CZ"/>
        </w:rPr>
        <w:t>25.</w:t>
      </w:r>
      <w:r w:rsidR="00117DA2" w:rsidRPr="00830750">
        <w:rPr>
          <w:rFonts w:eastAsia="Times New Roman" w:cs="Times New Roman"/>
          <w:lang w:eastAsia="cs-CZ"/>
        </w:rPr>
        <w:t xml:space="preserve"> </w:t>
      </w:r>
      <w:r w:rsidR="008866DB">
        <w:rPr>
          <w:rFonts w:eastAsia="Times New Roman" w:cs="Times New Roman"/>
          <w:lang w:eastAsia="cs-CZ"/>
        </w:rPr>
        <w:t>3</w:t>
      </w:r>
      <w:r w:rsidR="00364D1A" w:rsidRPr="00830750">
        <w:rPr>
          <w:rFonts w:eastAsia="Times New Roman" w:cs="Times New Roman"/>
          <w:lang w:eastAsia="cs-CZ"/>
        </w:rPr>
        <w:t xml:space="preserve">. </w:t>
      </w:r>
      <w:r w:rsidR="00364D1A" w:rsidRPr="00364D1A">
        <w:rPr>
          <w:rFonts w:eastAsia="Times New Roman" w:cs="Times New Roman"/>
          <w:lang w:eastAsia="cs-CZ"/>
        </w:rPr>
        <w:t>2025</w:t>
      </w:r>
      <w:r w:rsidRPr="00364D1A">
        <w:rPr>
          <w:rFonts w:eastAsia="Times New Roman" w:cs="Times New Roman"/>
          <w:lang w:eastAsia="cs-CZ"/>
        </w:rPr>
        <w:t xml:space="preserve"> (dále jen “Výzva”), </w:t>
      </w:r>
    </w:p>
    <w:p w14:paraId="1E2C23D6" w14:textId="77777777" w:rsidR="004901A1" w:rsidRPr="004C369B" w:rsidRDefault="00F01FED" w:rsidP="004901A1">
      <w:pPr>
        <w:numPr>
          <w:ilvl w:val="0"/>
          <w:numId w:val="7"/>
        </w:numPr>
        <w:spacing w:after="0" w:line="240" w:lineRule="auto"/>
        <w:ind w:left="709" w:hanging="283"/>
        <w:rPr>
          <w:rFonts w:eastAsia="Times New Roman" w:cs="Times New Roman"/>
          <w:lang w:eastAsia="cs-CZ"/>
        </w:rPr>
      </w:pPr>
      <w:r w:rsidRPr="004C369B">
        <w:rPr>
          <w:rFonts w:eastAsia="Times New Roman" w:cs="Times New Roman"/>
          <w:lang w:eastAsia="cs-CZ"/>
        </w:rPr>
        <w:t>Závazný vzor Smlouvy o dílo,</w:t>
      </w:r>
    </w:p>
    <w:p w14:paraId="5B2026CD" w14:textId="7D6496D7" w:rsidR="00F01FED"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Obchodní podmínky </w:t>
      </w:r>
      <w:r w:rsidR="00364D1A" w:rsidRPr="00364D1A">
        <w:rPr>
          <w:rFonts w:eastAsia="Times New Roman" w:cs="Times New Roman"/>
          <w:lang w:eastAsia="cs-CZ"/>
        </w:rPr>
        <w:t>SSV pro smlouvu o dílo na poskytování služeb OP SSV/06/24</w:t>
      </w:r>
      <w:r w:rsidRPr="003344A0">
        <w:rPr>
          <w:rFonts w:eastAsia="Times New Roman" w:cs="Times New Roman"/>
          <w:lang w:eastAsia="cs-CZ"/>
        </w:rPr>
        <w:t>,</w:t>
      </w:r>
    </w:p>
    <w:p w14:paraId="7B7D7A4F" w14:textId="337E74DF" w:rsidR="00F01FED" w:rsidRPr="008911C2" w:rsidRDefault="008911C2" w:rsidP="000A0E9C">
      <w:pPr>
        <w:numPr>
          <w:ilvl w:val="0"/>
          <w:numId w:val="7"/>
        </w:numPr>
        <w:spacing w:after="0" w:line="240" w:lineRule="auto"/>
        <w:ind w:left="709" w:hanging="283"/>
        <w:rPr>
          <w:rFonts w:eastAsia="Times New Roman" w:cs="Times New Roman"/>
          <w:lang w:eastAsia="cs-CZ"/>
        </w:rPr>
      </w:pPr>
      <w:r w:rsidRPr="008911C2">
        <w:rPr>
          <w:rFonts w:eastAsia="Times New Roman" w:cs="Arial"/>
          <w:lang w:eastAsia="cs-CZ"/>
        </w:rPr>
        <w:t>Vybrané části PDPS zpracovaný společností MORAVIA CONSULT Olomouc a.s., z</w:t>
      </w:r>
      <w:r w:rsidR="0027240E">
        <w:rPr>
          <w:rFonts w:eastAsia="Times New Roman" w:cs="Arial"/>
          <w:lang w:eastAsia="cs-CZ"/>
        </w:rPr>
        <w:t> </w:t>
      </w:r>
      <w:r w:rsidRPr="008911C2">
        <w:rPr>
          <w:rFonts w:eastAsia="Times New Roman" w:cs="Arial"/>
          <w:lang w:eastAsia="cs-CZ"/>
        </w:rPr>
        <w:t>05/2023, schválená dne 22. 11. 2023, č. j.: 80612/2023-SŽ-GŘ-O6-Ho</w:t>
      </w:r>
    </w:p>
    <w:p w14:paraId="4D423365" w14:textId="77777777" w:rsidR="00F01FED" w:rsidRPr="00F01FED" w:rsidRDefault="00F01FED" w:rsidP="009563E3">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8866DB">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69885C20"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1E275C" w:rsidRPr="007706B8">
          <w:rPr>
            <w:rStyle w:val="Hypertextovodkaz"/>
            <w:rFonts w:eastAsia="Times New Roman" w:cs="Times New Roman"/>
            <w:lang w:eastAsia="cs-CZ"/>
          </w:rPr>
          <w:t>https://zakazky.spravazeleznic.cz/</w:t>
        </w:r>
      </w:hyperlink>
      <w:r w:rsidRPr="00F01FED">
        <w:rPr>
          <w:rFonts w:eastAsia="Times New Roman" w:cs="Times New Roman"/>
          <w:lang w:eastAsia="cs-CZ"/>
        </w:rPr>
        <w:t xml:space="preserve">. </w:t>
      </w:r>
    </w:p>
    <w:p w14:paraId="69F3E2AF" w14:textId="72B1B1A3" w:rsidR="002A1EFE"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DF48AA">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EBA20D1" w14:textId="77777777" w:rsidR="009563E3"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009563E3">
        <w:rPr>
          <w:rFonts w:eastAsia="Times New Roman" w:cs="Times New Roman"/>
          <w:lang w:eastAsia="cs-CZ"/>
        </w:rPr>
        <w:t xml:space="preserve"> </w:t>
      </w:r>
    </w:p>
    <w:p w14:paraId="506825CD" w14:textId="7E30B65A" w:rsidR="00F24DBC" w:rsidRPr="00F01FED" w:rsidRDefault="00F24DBC" w:rsidP="00204C1E">
      <w:pPr>
        <w:spacing w:before="60" w:after="0" w:line="240" w:lineRule="auto"/>
        <w:ind w:left="425"/>
        <w:rPr>
          <w:rFonts w:eastAsia="Times New Roman" w:cs="Times New Roman"/>
          <w:lang w:eastAsia="cs-CZ"/>
        </w:rPr>
      </w:pPr>
      <w:r>
        <w:rPr>
          <w:rFonts w:eastAsia="Times New Roman" w:cs="Times New Roman"/>
          <w:lang w:eastAsia="cs-CZ"/>
        </w:rPr>
        <w:t>Bezodkladně po</w:t>
      </w:r>
      <w:r w:rsidRPr="00F01FED">
        <w:rPr>
          <w:rFonts w:eastAsia="Times New Roman" w:cs="Times New Roman"/>
          <w:color w:val="FF0000"/>
          <w:lang w:eastAsia="cs-CZ"/>
        </w:rPr>
        <w:t xml:space="preserve"> </w:t>
      </w:r>
      <w:r w:rsidRPr="00664423">
        <w:rPr>
          <w:rFonts w:eastAsia="Times New Roman" w:cs="Times New Roman"/>
          <w:lang w:eastAsia="cs-CZ"/>
        </w:rPr>
        <w:t xml:space="preserve">nabytí účinnosti smlouvy o výkonu TPI </w:t>
      </w:r>
      <w:r w:rsidR="00945854">
        <w:rPr>
          <w:rFonts w:eastAsia="Times New Roman" w:cs="Times New Roman"/>
          <w:lang w:eastAsia="cs-CZ"/>
        </w:rPr>
        <w:t>při</w:t>
      </w:r>
      <w:r w:rsidRPr="00664423">
        <w:rPr>
          <w:rFonts w:eastAsia="Times New Roman" w:cs="Times New Roman"/>
          <w:lang w:eastAsia="cs-CZ"/>
        </w:rPr>
        <w:t xml:space="preserve"> realizaci stavby</w:t>
      </w:r>
      <w:r w:rsidRPr="00F01FED">
        <w:rPr>
          <w:rFonts w:eastAsia="Times New Roman" w:cs="Times New Roman"/>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3AB9B88D" w14:textId="3AE086CF" w:rsidR="00EE4859" w:rsidRPr="00F01FED" w:rsidRDefault="00EE4859" w:rsidP="00EE4859">
      <w:pPr>
        <w:spacing w:before="120" w:after="0" w:line="240" w:lineRule="auto"/>
        <w:ind w:left="425"/>
        <w:rPr>
          <w:rFonts w:eastAsia="Times New Roman" w:cs="Times New Roman"/>
          <w:b/>
          <w:lang w:eastAsia="cs-CZ"/>
        </w:rPr>
      </w:pPr>
      <w:r w:rsidRPr="00F7589A">
        <w:rPr>
          <w:rFonts w:eastAsia="Times New Roman" w:cs="Arial"/>
          <w:b/>
          <w:lang w:eastAsia="cs-CZ"/>
        </w:rPr>
        <w:t>Činnost TPI bud</w:t>
      </w:r>
      <w:r>
        <w:rPr>
          <w:rFonts w:eastAsia="Times New Roman" w:cs="Arial"/>
          <w:b/>
          <w:lang w:eastAsia="cs-CZ"/>
        </w:rPr>
        <w:t xml:space="preserve">e probíhat při realizaci stavby </w:t>
      </w:r>
      <w:r w:rsidRPr="00F7589A">
        <w:rPr>
          <w:rFonts w:eastAsia="Times New Roman" w:cs="Arial"/>
          <w:b/>
          <w:lang w:eastAsia="cs-CZ"/>
        </w:rPr>
        <w:t>–</w:t>
      </w:r>
      <w:r>
        <w:rPr>
          <w:rFonts w:eastAsia="Times New Roman" w:cs="Arial"/>
          <w:b/>
          <w:lang w:eastAsia="cs-CZ"/>
        </w:rPr>
        <w:t xml:space="preserve"> předpoklad </w:t>
      </w:r>
      <w:r w:rsidRPr="00F7589A">
        <w:rPr>
          <w:rFonts w:eastAsia="Times New Roman" w:cs="Arial"/>
          <w:b/>
          <w:lang w:eastAsia="cs-CZ"/>
        </w:rPr>
        <w:t xml:space="preserve">dle HMG zadavatele od </w:t>
      </w:r>
      <w:r>
        <w:rPr>
          <w:rFonts w:eastAsia="Times New Roman" w:cs="Arial"/>
          <w:b/>
          <w:lang w:eastAsia="cs-CZ"/>
        </w:rPr>
        <w:t>05/2025</w:t>
      </w:r>
      <w:r w:rsidRPr="00F7589A">
        <w:rPr>
          <w:rFonts w:eastAsia="Times New Roman" w:cs="Arial"/>
          <w:b/>
          <w:lang w:eastAsia="cs-CZ"/>
        </w:rPr>
        <w:t xml:space="preserve"> </w:t>
      </w:r>
      <w:r w:rsidRPr="00227B6D">
        <w:rPr>
          <w:rFonts w:eastAsia="Times New Roman" w:cs="Arial"/>
          <w:lang w:eastAsia="cs-CZ"/>
        </w:rPr>
        <w:t>(</w:t>
      </w:r>
      <w:r w:rsidRPr="00117DA2">
        <w:rPr>
          <w:rFonts w:eastAsia="Times New Roman" w:cs="Arial"/>
          <w:lang w:eastAsia="cs-CZ"/>
        </w:rPr>
        <w:t>4</w:t>
      </w:r>
      <w:r w:rsidR="003A5FD6" w:rsidRPr="00117DA2">
        <w:rPr>
          <w:rFonts w:eastAsia="Times New Roman" w:cs="Arial"/>
          <w:lang w:eastAsia="cs-CZ"/>
        </w:rPr>
        <w:t>4</w:t>
      </w:r>
      <w:r w:rsidRPr="00117DA2">
        <w:rPr>
          <w:rFonts w:eastAsia="Times New Roman" w:cs="Arial"/>
          <w:lang w:eastAsia="cs-CZ"/>
        </w:rPr>
        <w:t xml:space="preserve"> měsíců</w:t>
      </w:r>
      <w:r>
        <w:rPr>
          <w:rFonts w:eastAsia="Times New Roman" w:cs="Arial"/>
          <w:lang w:eastAsia="cs-CZ"/>
        </w:rPr>
        <w:t>).</w:t>
      </w:r>
    </w:p>
    <w:p w14:paraId="01E9D397" w14:textId="77777777" w:rsidR="00EE4859" w:rsidRDefault="00EE4859" w:rsidP="00EE4859">
      <w:pPr>
        <w:spacing w:after="0" w:line="240" w:lineRule="auto"/>
        <w:ind w:left="426"/>
        <w:rPr>
          <w:rFonts w:eastAsia="Times New Roman" w:cs="Arial"/>
          <w:b/>
          <w:lang w:eastAsia="cs-CZ"/>
        </w:rPr>
      </w:pPr>
    </w:p>
    <w:p w14:paraId="0266FD95" w14:textId="5B07C694" w:rsidR="00EE4859" w:rsidRDefault="00EE4859" w:rsidP="00EE4859">
      <w:pPr>
        <w:spacing w:after="0" w:line="240" w:lineRule="auto"/>
        <w:ind w:left="426"/>
        <w:rPr>
          <w:rFonts w:eastAsia="Times New Roman" w:cs="Times New Roman"/>
          <w:b/>
          <w:u w:val="single"/>
          <w:lang w:eastAsia="cs-CZ"/>
        </w:rPr>
      </w:pPr>
      <w:r w:rsidRPr="00F7589A">
        <w:rPr>
          <w:rFonts w:eastAsia="Times New Roman" w:cs="Arial"/>
          <w:b/>
          <w:lang w:eastAsia="cs-CZ"/>
        </w:rPr>
        <w:t xml:space="preserve">Předpokládaný rozsah prací: </w:t>
      </w:r>
      <w:r w:rsidR="003A5FD6" w:rsidRPr="00117DA2">
        <w:rPr>
          <w:rFonts w:eastAsia="Times New Roman" w:cs="Times New Roman"/>
          <w:b/>
          <w:bCs/>
          <w:lang w:eastAsia="cs-CZ"/>
        </w:rPr>
        <w:t>5</w:t>
      </w:r>
      <w:r w:rsidRPr="00117DA2">
        <w:rPr>
          <w:rFonts w:eastAsia="Times New Roman" w:cs="Times New Roman"/>
          <w:b/>
          <w:bCs/>
          <w:lang w:eastAsia="cs-CZ"/>
        </w:rPr>
        <w:t> </w:t>
      </w:r>
      <w:r w:rsidR="003A5FD6" w:rsidRPr="00117DA2">
        <w:rPr>
          <w:rFonts w:eastAsia="Times New Roman" w:cs="Times New Roman"/>
          <w:b/>
          <w:bCs/>
          <w:lang w:eastAsia="cs-CZ"/>
        </w:rPr>
        <w:t>2</w:t>
      </w:r>
      <w:r w:rsidRPr="00117DA2">
        <w:rPr>
          <w:rFonts w:eastAsia="Times New Roman" w:cs="Times New Roman"/>
          <w:b/>
          <w:bCs/>
          <w:lang w:eastAsia="cs-CZ"/>
        </w:rPr>
        <w:t>80 h</w:t>
      </w:r>
    </w:p>
    <w:p w14:paraId="118014FA" w14:textId="52DD35D8"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B728BF7" w14:textId="566E3A65" w:rsidR="00F24DBC" w:rsidRPr="00F7589A" w:rsidRDefault="00F24DBC" w:rsidP="00F24DBC">
      <w:pPr>
        <w:spacing w:after="0" w:line="240" w:lineRule="auto"/>
        <w:ind w:left="426"/>
        <w:rPr>
          <w:rFonts w:eastAsia="Times New Roman" w:cs="Arial"/>
          <w:lang w:eastAsia="cs-CZ"/>
        </w:rPr>
      </w:pPr>
      <w:r w:rsidRPr="00F24DBC">
        <w:rPr>
          <w:rFonts w:eastAsia="Times New Roman" w:cs="Arial"/>
          <w:u w:val="single"/>
          <w:lang w:eastAsia="cs-CZ"/>
        </w:rPr>
        <w:t>Fakturace:</w:t>
      </w:r>
      <w:r>
        <w:rPr>
          <w:rFonts w:eastAsia="Times New Roman" w:cs="Arial"/>
          <w:lang w:eastAsia="cs-CZ"/>
        </w:rPr>
        <w:t xml:space="preserve"> m</w:t>
      </w:r>
      <w:r w:rsidRPr="00F7589A">
        <w:rPr>
          <w:rFonts w:eastAsia="Times New Roman" w:cs="Arial"/>
          <w:lang w:eastAsia="cs-CZ"/>
        </w:rPr>
        <w:t>ěsíčně.</w:t>
      </w:r>
    </w:p>
    <w:p w14:paraId="359698DF" w14:textId="5DC31439" w:rsidR="00F24DBC" w:rsidRDefault="00F24DBC" w:rsidP="00F24DBC">
      <w:pPr>
        <w:spacing w:after="0" w:line="240" w:lineRule="auto"/>
        <w:ind w:left="426"/>
        <w:rPr>
          <w:rFonts w:eastAsia="Times New Roman" w:cs="Times New Roman"/>
          <w:b/>
          <w:u w:val="single"/>
          <w:lang w:eastAsia="cs-CZ"/>
        </w:rPr>
      </w:pPr>
      <w:r w:rsidRPr="00F7589A">
        <w:rPr>
          <w:rFonts w:eastAsia="Times New Roman" w:cs="Arial"/>
          <w:lang w:eastAsia="cs-CZ"/>
        </w:rPr>
        <w:t xml:space="preserve">Dle počtu odpracovaných hodin. K faktuře bude přiložen soupis výkonů podle činností, které vykáže zhotovitel TPI a odsouhlasí správce stavby (TDS). Soupis bude obsahovat tyto </w:t>
      </w:r>
      <w:proofErr w:type="gramStart"/>
      <w:r w:rsidRPr="00F7589A">
        <w:rPr>
          <w:rFonts w:eastAsia="Times New Roman" w:cs="Arial"/>
          <w:lang w:eastAsia="cs-CZ"/>
        </w:rPr>
        <w:t>údaje - datum</w:t>
      </w:r>
      <w:proofErr w:type="gramEnd"/>
      <w:r w:rsidRPr="00F7589A">
        <w:rPr>
          <w:rFonts w:eastAsia="Times New Roman" w:cs="Arial"/>
          <w:lang w:eastAsia="cs-CZ"/>
        </w:rPr>
        <w:t>, stručný popis činnosti, jméno pracovníka, vykazované množství času, odsouhlasená cena za jednotku času.</w:t>
      </w:r>
    </w:p>
    <w:p w14:paraId="00E8BBA0" w14:textId="77777777" w:rsidR="00F24DBC" w:rsidRDefault="00F24DBC" w:rsidP="00F01FED">
      <w:pPr>
        <w:spacing w:after="0" w:line="240" w:lineRule="auto"/>
        <w:ind w:left="426"/>
        <w:rPr>
          <w:rFonts w:eastAsia="Times New Roman" w:cs="Times New Roman"/>
          <w:b/>
          <w:u w:val="single"/>
          <w:lang w:eastAsia="cs-CZ"/>
        </w:rPr>
      </w:pPr>
    </w:p>
    <w:p w14:paraId="79B1860C" w14:textId="6D7371FC" w:rsid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Místo plnění:</w:t>
      </w:r>
    </w:p>
    <w:p w14:paraId="39770B2A" w14:textId="49DFD59A" w:rsidR="00F24DBC" w:rsidRPr="00F24DBC" w:rsidRDefault="00F24DBC" w:rsidP="00F24DBC">
      <w:pPr>
        <w:pStyle w:val="Odstavecseseznamem"/>
        <w:numPr>
          <w:ilvl w:val="0"/>
          <w:numId w:val="47"/>
        </w:numPr>
        <w:spacing w:before="60" w:after="0" w:line="240" w:lineRule="auto"/>
        <w:rPr>
          <w:rFonts w:eastAsia="Times New Roman" w:cs="Arial"/>
          <w:lang w:eastAsia="cs-CZ"/>
        </w:rPr>
      </w:pPr>
      <w:r w:rsidRPr="00F24DBC">
        <w:rPr>
          <w:rFonts w:eastAsia="Times New Roman" w:cs="Arial"/>
          <w:lang w:eastAsia="cs-CZ"/>
        </w:rPr>
        <w:t>Je dáno místem, v němž má být Dílo dle Projektu a příslušných veřejnoprávních povolení umístěno.</w:t>
      </w:r>
    </w:p>
    <w:p w14:paraId="7B50ECB2" w14:textId="6A95699D" w:rsidR="00F24DBC" w:rsidRPr="00F24DBC" w:rsidRDefault="00F24DBC" w:rsidP="00F24DBC">
      <w:pPr>
        <w:pStyle w:val="Odstavecseseznamem"/>
        <w:numPr>
          <w:ilvl w:val="0"/>
          <w:numId w:val="47"/>
        </w:numPr>
        <w:spacing w:before="60" w:after="0" w:line="240" w:lineRule="auto"/>
        <w:rPr>
          <w:rFonts w:eastAsia="Times New Roman" w:cs="Times New Roman"/>
          <w:u w:val="single"/>
          <w:lang w:eastAsia="cs-CZ"/>
        </w:rPr>
      </w:pPr>
      <w:r w:rsidRPr="00F24DBC">
        <w:rPr>
          <w:rFonts w:eastAsia="Times New Roman" w:cs="Times New Roman"/>
          <w:b/>
          <w:bCs/>
          <w:lang w:eastAsia="cs-CZ"/>
        </w:rPr>
        <w:t xml:space="preserve">Pro předání </w:t>
      </w:r>
      <w:proofErr w:type="gramStart"/>
      <w:r w:rsidRPr="00F24DBC">
        <w:rPr>
          <w:rFonts w:eastAsia="Times New Roman" w:cs="Times New Roman"/>
          <w:b/>
          <w:bCs/>
          <w:lang w:eastAsia="cs-CZ"/>
        </w:rPr>
        <w:t>díla</w:t>
      </w:r>
      <w:r w:rsidRPr="00F24DBC">
        <w:rPr>
          <w:rFonts w:eastAsia="Times New Roman" w:cs="Times New Roman"/>
          <w:lang w:eastAsia="cs-CZ"/>
        </w:rPr>
        <w:t xml:space="preserve"> - Správa</w:t>
      </w:r>
      <w:proofErr w:type="gramEnd"/>
      <w:r w:rsidRPr="00F24DBC">
        <w:rPr>
          <w:rFonts w:eastAsia="Times New Roman" w:cs="Times New Roman"/>
          <w:lang w:eastAsia="cs-CZ"/>
        </w:rPr>
        <w:t xml:space="preserve"> železnic, státní organizace, Stavební správa východ, Nerudova 773/1, 779 00 Olomouc</w:t>
      </w:r>
    </w:p>
    <w:p w14:paraId="1081089C" w14:textId="3F325F8F" w:rsidR="00F01FED" w:rsidRPr="006974BB" w:rsidRDefault="00F01FED" w:rsidP="005F66B0">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573AC3A" w14:textId="17A34ECF" w:rsidR="00F24DBC" w:rsidRPr="00F7589A" w:rsidRDefault="00F24DBC" w:rsidP="00F24DBC">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sidR="00EE4859">
        <w:rPr>
          <w:rFonts w:eastAsia="Times New Roman" w:cs="Arial"/>
          <w:lang w:eastAsia="cs-CZ"/>
        </w:rPr>
        <w:t>3</w:t>
      </w:r>
      <w:r w:rsidRPr="00F7589A">
        <w:rPr>
          <w:rFonts w:eastAsia="Times New Roman" w:cs="Arial"/>
          <w:lang w:eastAsia="cs-CZ"/>
        </w:rPr>
        <w:t>.</w:t>
      </w:r>
      <w:r w:rsidR="00EE4859">
        <w:rPr>
          <w:rFonts w:eastAsia="Times New Roman" w:cs="Arial"/>
          <w:lang w:eastAsia="cs-CZ"/>
        </w:rPr>
        <w:t>3</w:t>
      </w:r>
      <w:r w:rsidRPr="00F7589A">
        <w:rPr>
          <w:rFonts w:eastAsia="Times New Roman" w:cs="Arial"/>
          <w:lang w:eastAsia="cs-CZ"/>
        </w:rPr>
        <w:t xml:space="preserve"> této výzvy především ve formě fyzicky pořízeného výsledku (zpráva, vyjádření, stanovisko, protokol), budou předány objednateli:</w:t>
      </w:r>
    </w:p>
    <w:p w14:paraId="11A2E4AC" w14:textId="77777777" w:rsidR="00F24DBC" w:rsidRPr="00F7589A" w:rsidRDefault="00F24DBC" w:rsidP="00F24DBC">
      <w:pPr>
        <w:numPr>
          <w:ilvl w:val="0"/>
          <w:numId w:val="48"/>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312B456B" w14:textId="77777777" w:rsidR="00F24DBC" w:rsidRPr="00F7589A" w:rsidRDefault="00F24DBC" w:rsidP="00F24DBC">
      <w:pPr>
        <w:numPr>
          <w:ilvl w:val="0"/>
          <w:numId w:val="48"/>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6412F6C8" w14:textId="4818A0AD" w:rsidR="00F24DBC" w:rsidRPr="00F7589A" w:rsidRDefault="00F24DBC" w:rsidP="00F24DBC">
      <w:pPr>
        <w:numPr>
          <w:ilvl w:val="0"/>
          <w:numId w:val="48"/>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sidR="00EE4859">
        <w:rPr>
          <w:rFonts w:eastAsia="Times New Roman" w:cs="Arial"/>
          <w:lang w:eastAsia="cs-CZ"/>
        </w:rPr>
        <w:t>7</w:t>
      </w:r>
      <w:r w:rsidRPr="00F7589A">
        <w:rPr>
          <w:rFonts w:eastAsia="Times New Roman" w:cs="Arial"/>
          <w:lang w:eastAsia="cs-CZ"/>
        </w:rPr>
        <w:t>. této výzvy)</w:t>
      </w:r>
    </w:p>
    <w:p w14:paraId="4692397D" w14:textId="77777777" w:rsidR="00F24DBC" w:rsidRPr="00F7589A" w:rsidRDefault="00F24DBC" w:rsidP="00F24DBC">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72B43A49" w14:textId="77777777" w:rsidR="00F24DBC" w:rsidRPr="00F7589A" w:rsidRDefault="00F24DBC" w:rsidP="00F24DBC">
      <w:pPr>
        <w:numPr>
          <w:ilvl w:val="0"/>
          <w:numId w:val="49"/>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072D0679"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655DFE7C"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Soulad se schváleným HMG stavby</w:t>
      </w:r>
    </w:p>
    <w:p w14:paraId="61F8D388"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Fakturace stavby</w:t>
      </w:r>
    </w:p>
    <w:p w14:paraId="21D7E53F"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72825762"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0D5F3EF8" w14:textId="77777777" w:rsidR="00F24DBC"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Sledování a řízení změn proti DPS</w:t>
      </w:r>
    </w:p>
    <w:p w14:paraId="19FF6705"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Fotodokumentace</w:t>
      </w:r>
    </w:p>
    <w:p w14:paraId="761FE3C2" w14:textId="77777777" w:rsidR="00F24DBC" w:rsidRPr="00F7589A" w:rsidRDefault="00F24DBC" w:rsidP="00F24DBC">
      <w:pPr>
        <w:numPr>
          <w:ilvl w:val="1"/>
          <w:numId w:val="49"/>
        </w:numPr>
        <w:spacing w:after="0" w:line="240" w:lineRule="auto"/>
        <w:rPr>
          <w:rFonts w:eastAsia="Times New Roman" w:cs="Arial"/>
          <w:lang w:eastAsia="cs-CZ"/>
        </w:rPr>
      </w:pPr>
      <w:r w:rsidRPr="00F7589A">
        <w:rPr>
          <w:rFonts w:eastAsia="Times New Roman" w:cs="Arial"/>
          <w:lang w:eastAsia="cs-CZ"/>
        </w:rPr>
        <w:t>Financování</w:t>
      </w:r>
    </w:p>
    <w:p w14:paraId="3941E9DE" w14:textId="77777777" w:rsidR="00F24DBC" w:rsidRDefault="00F24DBC" w:rsidP="005F66B0">
      <w:pPr>
        <w:spacing w:after="0" w:line="240" w:lineRule="auto"/>
        <w:ind w:left="426"/>
        <w:jc w:val="both"/>
        <w:rPr>
          <w:rFonts w:eastAsia="Times New Roman" w:cs="Arial"/>
          <w:lang w:eastAsia="cs-CZ"/>
        </w:rPr>
      </w:pPr>
    </w:p>
    <w:p w14:paraId="46A694C4" w14:textId="77777777" w:rsidR="00F24DBC" w:rsidRDefault="00F24DBC" w:rsidP="005F66B0">
      <w:pPr>
        <w:spacing w:after="0" w:line="240" w:lineRule="auto"/>
        <w:ind w:left="426"/>
        <w:jc w:val="both"/>
        <w:rPr>
          <w:rFonts w:eastAsia="Times New Roman" w:cs="Arial"/>
          <w:lang w:eastAsia="cs-CZ"/>
        </w:rPr>
      </w:pPr>
    </w:p>
    <w:p w14:paraId="6B96FAB0" w14:textId="77777777" w:rsidR="00832521" w:rsidRDefault="00832521" w:rsidP="005F66B0">
      <w:pPr>
        <w:spacing w:after="0" w:line="240" w:lineRule="auto"/>
        <w:ind w:left="426"/>
        <w:jc w:val="both"/>
        <w:rPr>
          <w:rFonts w:eastAsia="Times New Roman" w:cs="Arial"/>
          <w:lang w:eastAsia="cs-CZ"/>
        </w:rPr>
      </w:pPr>
    </w:p>
    <w:p w14:paraId="2A13A860" w14:textId="77777777" w:rsidR="00F01FED" w:rsidRPr="00F01FED" w:rsidRDefault="00F01FED" w:rsidP="005F66B0">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F66B0">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5F66B0">
      <w:pPr>
        <w:numPr>
          <w:ilvl w:val="0"/>
          <w:numId w:val="13"/>
        </w:numPr>
        <w:spacing w:after="6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DC30CCC" w14:textId="7587B264" w:rsidR="005F66B0" w:rsidRDefault="0074411B" w:rsidP="005F66B0">
      <w:pPr>
        <w:pStyle w:val="Odstavecseseznamem"/>
        <w:numPr>
          <w:ilvl w:val="0"/>
          <w:numId w:val="41"/>
        </w:numPr>
        <w:spacing w:after="120" w:line="240" w:lineRule="auto"/>
        <w:ind w:left="1134" w:right="136" w:firstLine="0"/>
        <w:jc w:val="both"/>
        <w:rPr>
          <w:rFonts w:eastAsia="Times New Roman" w:cs="Arial"/>
          <w:b/>
          <w:lang w:eastAsia="cs-CZ"/>
        </w:rPr>
      </w:pPr>
      <w:r w:rsidRPr="00960FEB">
        <w:rPr>
          <w:rFonts w:eastAsia="Times New Roman" w:cs="Arial"/>
          <w:lang w:eastAsia="cs-CZ"/>
        </w:rPr>
        <w:t>Poradenská a konzultační činnost, zpracování odborných studií a posudků</w:t>
      </w:r>
      <w:r>
        <w:rPr>
          <w:rFonts w:eastAsia="Times New Roman" w:cs="Arial"/>
          <w:b/>
          <w:lang w:eastAsia="cs-CZ"/>
        </w:rPr>
        <w:t xml:space="preserve"> </w:t>
      </w:r>
    </w:p>
    <w:p w14:paraId="1ECED5BD" w14:textId="52D4E4FE" w:rsidR="005F66B0" w:rsidRPr="00A27EE6" w:rsidRDefault="0074411B" w:rsidP="005F66B0">
      <w:pPr>
        <w:numPr>
          <w:ilvl w:val="0"/>
          <w:numId w:val="13"/>
        </w:numPr>
        <w:autoSpaceDE w:val="0"/>
        <w:autoSpaceDN w:val="0"/>
        <w:spacing w:after="120" w:line="240" w:lineRule="auto"/>
        <w:ind w:left="993" w:right="136" w:hanging="425"/>
        <w:jc w:val="both"/>
        <w:rPr>
          <w:rFonts w:eastAsia="Times New Roman" w:cs="Arial"/>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Pr>
          <w:rFonts w:eastAsia="Times New Roman" w:cs="Times New Roman"/>
          <w:lang w:eastAsia="cs-CZ"/>
        </w:rPr>
        <w:t xml:space="preserve"> (dále jen „autorizační zákon“</w:t>
      </w:r>
      <w:r w:rsidR="00117DA2">
        <w:rPr>
          <w:rFonts w:eastAsia="Times New Roman" w:cs="Times New Roman"/>
          <w:lang w:eastAsia="cs-CZ"/>
        </w:rPr>
        <w:t>)</w:t>
      </w:r>
      <w:r w:rsidRPr="005E0F20">
        <w:rPr>
          <w:rFonts w:eastAsia="Times New Roman" w:cs="Times New Roman"/>
          <w:lang w:eastAsia="cs-CZ"/>
        </w:rPr>
        <w:t>;</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5F66B0">
        <w:rPr>
          <w:rFonts w:eastAsia="Times New Roman" w:cs="Times New Roman"/>
          <w:lang w:eastAsia="cs-CZ"/>
        </w:rPr>
        <w:t>K prokázání splnění technické kvalifikace předloží dodavatel zadavateli následující doklady:</w:t>
      </w:r>
    </w:p>
    <w:p w14:paraId="7E8B8A4E" w14:textId="6DD1D5C8" w:rsidR="00DF628D" w:rsidRPr="00721845" w:rsidRDefault="00DF628D" w:rsidP="00DF628D">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b/>
          <w:color w:val="000000"/>
          <w:lang w:eastAsia="cs-CZ"/>
        </w:rPr>
        <w:t>Seznam 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v posledních 3 letech</w:t>
      </w:r>
      <w:r w:rsidR="001E275C">
        <w:rPr>
          <w:rFonts w:eastAsia="Times New Roman" w:cs="Times New Roman"/>
          <w:b/>
          <w:color w:val="000000"/>
          <w:lang w:eastAsia="cs-CZ"/>
        </w:rPr>
        <w:t>,</w:t>
      </w:r>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4A45E006" w14:textId="36D5C7E9" w:rsidR="00DF628D" w:rsidRPr="00721845" w:rsidRDefault="00DF628D" w:rsidP="00DF628D">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třech letech před zahájením zadávacího řízení poskytl služby technické pomoci investorovi nebo jiné obdobné činnosti, </w:t>
      </w:r>
      <w:r w:rsidRPr="00721845">
        <w:rPr>
          <w:rFonts w:eastAsia="Times New Roman" w:cs="Times New Roman"/>
          <w:color w:val="000000"/>
          <w:lang w:eastAsia="cs-CZ"/>
        </w:rPr>
        <w:lastRenderedPageBreak/>
        <w:t xml:space="preserve">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na dvou stavbách železničních drah.</w:t>
      </w:r>
    </w:p>
    <w:p w14:paraId="09C9912D" w14:textId="647B219A" w:rsidR="005F66B0" w:rsidRPr="00F01FED" w:rsidRDefault="00DF628D" w:rsidP="00DF628D">
      <w:pPr>
        <w:spacing w:before="120" w:line="240" w:lineRule="auto"/>
        <w:ind w:left="425"/>
        <w:jc w:val="both"/>
        <w:rPr>
          <w:rFonts w:eastAsia="Times New Roman" w:cs="Times New Roman"/>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Pr="00DF628D">
        <w:rPr>
          <w:rFonts w:eastAsia="Times New Roman" w:cs="Times New Roman"/>
          <w:b/>
          <w:bCs/>
          <w:color w:val="000000"/>
          <w:lang w:eastAsia="cs-CZ"/>
        </w:rPr>
        <w:t>3 000 000</w:t>
      </w:r>
      <w:r w:rsidRPr="00721845">
        <w:rPr>
          <w:rFonts w:eastAsia="Times New Roman" w:cs="Times New Roman"/>
          <w:color w:val="000000"/>
          <w:lang w:eastAsia="cs-CZ"/>
        </w:rPr>
        <w:t xml:space="preserve"> K</w:t>
      </w:r>
      <w:r>
        <w:rPr>
          <w:rFonts w:eastAsia="Times New Roman" w:cs="Times New Roman"/>
          <w:color w:val="000000"/>
          <w:lang w:eastAsia="cs-CZ"/>
        </w:rPr>
        <w:t>č</w:t>
      </w:r>
      <w:r w:rsidRPr="00721845">
        <w:rPr>
          <w:rFonts w:eastAsia="Times New Roman" w:cs="Times New Roman"/>
          <w:color w:val="000000"/>
          <w:lang w:eastAsia="cs-CZ"/>
        </w:rPr>
        <w:t xml:space="preserve"> bez DPH. Alespoň jedna z jím poskytnutých služeb uvedených v seznamu přitom musí mít hodnotu alespoň </w:t>
      </w:r>
      <w:r w:rsidRPr="00DF628D">
        <w:rPr>
          <w:rFonts w:eastAsia="Times New Roman" w:cs="Times New Roman"/>
          <w:b/>
          <w:bCs/>
          <w:color w:val="000000"/>
          <w:lang w:eastAsia="cs-CZ"/>
        </w:rPr>
        <w:t xml:space="preserve">1 </w:t>
      </w:r>
      <w:r>
        <w:rPr>
          <w:rFonts w:eastAsia="Times New Roman" w:cs="Times New Roman"/>
          <w:b/>
          <w:bCs/>
          <w:color w:val="000000"/>
          <w:lang w:eastAsia="cs-CZ"/>
        </w:rPr>
        <w:t>2</w:t>
      </w:r>
      <w:r w:rsidRPr="00DF628D">
        <w:rPr>
          <w:rFonts w:eastAsia="Times New Roman" w:cs="Times New Roman"/>
          <w:b/>
          <w:bCs/>
          <w:color w:val="000000"/>
          <w:lang w:eastAsia="cs-CZ"/>
        </w:rPr>
        <w:t>00 000</w:t>
      </w:r>
      <w:r w:rsidRPr="00721845">
        <w:rPr>
          <w:rFonts w:eastAsia="Times New Roman" w:cs="Times New Roman"/>
          <w:color w:val="000000"/>
          <w:lang w:eastAsia="cs-CZ"/>
        </w:rPr>
        <w:t> K</w:t>
      </w:r>
      <w:r>
        <w:rPr>
          <w:rFonts w:eastAsia="Times New Roman" w:cs="Times New Roman"/>
          <w:color w:val="000000"/>
          <w:lang w:eastAsia="cs-CZ"/>
        </w:rPr>
        <w:t>č</w:t>
      </w:r>
      <w:r w:rsidRPr="00721845">
        <w:rPr>
          <w:rFonts w:eastAsia="Times New Roman" w:cs="Times New Roman"/>
          <w:color w:val="000000"/>
          <w:lang w:eastAsia="cs-CZ"/>
        </w:rPr>
        <w:t xml:space="preserve"> bez DPH.</w:t>
      </w:r>
    </w:p>
    <w:p w14:paraId="784BB3C2" w14:textId="4AC6795E" w:rsidR="00DF628D" w:rsidRDefault="00F01FED" w:rsidP="00DF628D">
      <w:pPr>
        <w:spacing w:after="120" w:line="240" w:lineRule="auto"/>
        <w:ind w:left="426"/>
        <w:jc w:val="both"/>
        <w:rPr>
          <w:rFonts w:eastAsia="Times New Roman" w:cs="Times New Roman"/>
          <w:lang w:eastAsia="cs-CZ"/>
        </w:rPr>
      </w:pPr>
      <w:r w:rsidRPr="005F66B0">
        <w:rPr>
          <w:rFonts w:eastAsia="Times New Roman" w:cs="Times New Roman"/>
          <w:lang w:eastAsia="cs-CZ"/>
        </w:rPr>
        <w:t xml:space="preserve">Zadavatel požaduje předložení </w:t>
      </w:r>
      <w:r w:rsidRPr="003D3B2E">
        <w:rPr>
          <w:rFonts w:eastAsia="Times New Roman" w:cs="Times New Roman"/>
          <w:b/>
          <w:bCs/>
          <w:lang w:eastAsia="cs-CZ"/>
        </w:rPr>
        <w:t>seznamu personálu dodavatele</w:t>
      </w:r>
      <w:r w:rsidR="005F66B0">
        <w:rPr>
          <w:rFonts w:eastAsia="Times New Roman" w:cs="Times New Roman"/>
          <w:lang w:eastAsia="cs-CZ"/>
        </w:rPr>
        <w:t xml:space="preserve">. </w:t>
      </w:r>
    </w:p>
    <w:p w14:paraId="791EFF43" w14:textId="77777777" w:rsidR="00DF628D" w:rsidRDefault="00DF628D" w:rsidP="00832521">
      <w:pPr>
        <w:pStyle w:val="Bezmezer"/>
        <w:spacing w:line="240" w:lineRule="auto"/>
        <w:ind w:left="425"/>
        <w:jc w:val="both"/>
        <w:rPr>
          <w:rFonts w:ascii="Verdana" w:hAnsi="Verdana"/>
          <w:lang w:eastAsia="cs-CZ"/>
        </w:rPr>
      </w:pPr>
      <w:r w:rsidRPr="004669BA">
        <w:rPr>
          <w:b/>
          <w:u w:val="single"/>
        </w:rPr>
        <w:t>Seznam personálu</w:t>
      </w:r>
      <w:r>
        <w:rPr>
          <w:b/>
        </w:rPr>
        <w:t xml:space="preserve"> </w:t>
      </w:r>
      <w:r w:rsidRPr="001159C6">
        <w:rPr>
          <w:rFonts w:ascii="Verdana" w:hAnsi="Verdana"/>
          <w:color w:val="000000"/>
          <w:lang w:eastAsia="cs-CZ"/>
        </w:rPr>
        <w:t>dodavatele</w:t>
      </w:r>
      <w:r w:rsidRPr="001159C6">
        <w:rPr>
          <w:rFonts w:ascii="Verdana" w:hAnsi="Verdana"/>
          <w:lang w:eastAsia="cs-CZ"/>
        </w:rPr>
        <w:t xml:space="preserve">, který se bude na plnění veřejné zakázky podílet. Každá jednotlivá níže uvedená funkce člena personálu může být vykonávána pouze jako celek dodavatelem určenou fyzickou osobou (nelze </w:t>
      </w:r>
      <w:proofErr w:type="gramStart"/>
      <w:r w:rsidRPr="001159C6">
        <w:rPr>
          <w:rFonts w:ascii="Verdana" w:hAnsi="Verdana"/>
          <w:lang w:eastAsia="cs-CZ"/>
        </w:rPr>
        <w:t>ji</w:t>
      </w:r>
      <w:proofErr w:type="gramEnd"/>
      <w:r w:rsidRPr="001159C6">
        <w:rPr>
          <w:rFonts w:ascii="Verdana" w:hAnsi="Verdana"/>
          <w:lang w:eastAsia="cs-CZ"/>
        </w:rPr>
        <w:t xml:space="preserve"> jakkoliv rozdělit mez</w:t>
      </w:r>
      <w:r>
        <w:rPr>
          <w:rFonts w:ascii="Verdana" w:hAnsi="Verdana"/>
          <w:lang w:eastAsia="cs-CZ"/>
        </w:rPr>
        <w:t>i více fyzických osob). Funkci vedoucího TPI</w:t>
      </w:r>
      <w:r w:rsidRPr="001159C6">
        <w:rPr>
          <w:rFonts w:ascii="Verdana" w:hAnsi="Verdana"/>
          <w:lang w:eastAsia="cs-CZ"/>
        </w:rPr>
        <w:t xml:space="preserve"> a zástupce </w:t>
      </w:r>
      <w:r>
        <w:rPr>
          <w:rFonts w:ascii="Verdana" w:hAnsi="Verdana"/>
          <w:lang w:eastAsia="cs-CZ"/>
        </w:rPr>
        <w:t>vedoucího TPI</w:t>
      </w:r>
      <w:r w:rsidRPr="001159C6">
        <w:rPr>
          <w:rFonts w:ascii="Verdana" w:hAnsi="Verdana"/>
          <w:lang w:eastAsia="cs-CZ"/>
        </w:rPr>
        <w:t xml:space="preserve"> nelze sloučit, tyto funkce musí zastávat vždy odlišné fyzické osoby.</w:t>
      </w:r>
    </w:p>
    <w:p w14:paraId="3533B017" w14:textId="77777777" w:rsidR="00DF628D" w:rsidRDefault="00DF628D" w:rsidP="00832521">
      <w:pPr>
        <w:pStyle w:val="Bezmezer"/>
        <w:spacing w:line="240" w:lineRule="auto"/>
        <w:ind w:left="425"/>
        <w:jc w:val="both"/>
        <w:rPr>
          <w:rFonts w:ascii="Verdana" w:hAnsi="Verdana"/>
        </w:rPr>
      </w:pPr>
    </w:p>
    <w:p w14:paraId="1AF73AD9" w14:textId="77777777" w:rsidR="00DF628D" w:rsidRDefault="00DF628D" w:rsidP="00832521">
      <w:pPr>
        <w:pStyle w:val="Bezmezer"/>
        <w:spacing w:line="240" w:lineRule="auto"/>
        <w:ind w:left="425"/>
        <w:jc w:val="both"/>
        <w:rPr>
          <w:rFonts w:ascii="Verdana" w:hAnsi="Verdana"/>
        </w:rPr>
      </w:pPr>
      <w:r w:rsidRPr="001159C6">
        <w:rPr>
          <w:rFonts w:ascii="Verdana" w:hAnsi="Verdana"/>
        </w:rPr>
        <w:t>Pro plnění této veřejné zakázky musí mít dodavatel k dispozici odborný personál, který splňuje následující podmínky:</w:t>
      </w:r>
    </w:p>
    <w:p w14:paraId="19995E2B" w14:textId="77777777" w:rsidR="00DF628D" w:rsidRPr="00721845" w:rsidRDefault="00DF628D" w:rsidP="00DF628D">
      <w:pPr>
        <w:autoSpaceDE w:val="0"/>
        <w:autoSpaceDN w:val="0"/>
        <w:spacing w:before="120" w:after="0" w:line="240" w:lineRule="auto"/>
        <w:ind w:left="425"/>
        <w:rPr>
          <w:rFonts w:eastAsia="Times New Roman" w:cs="Times New Roman"/>
          <w:b/>
          <w:color w:val="000000"/>
          <w:lang w:eastAsia="cs-CZ"/>
        </w:rPr>
      </w:pPr>
      <w:r w:rsidRPr="00721845">
        <w:rPr>
          <w:rFonts w:eastAsia="Times New Roman" w:cs="Times New Roman"/>
          <w:b/>
          <w:color w:val="000000"/>
          <w:lang w:eastAsia="cs-CZ"/>
        </w:rPr>
        <w:t>Seznam osob (techniků)</w:t>
      </w:r>
    </w:p>
    <w:p w14:paraId="2BBE481A" w14:textId="77777777" w:rsidR="00DF628D" w:rsidRDefault="00DF628D" w:rsidP="00DF628D">
      <w:pPr>
        <w:numPr>
          <w:ilvl w:val="0"/>
          <w:numId w:val="50"/>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Vedoucí TPI</w:t>
      </w:r>
    </w:p>
    <w:p w14:paraId="3DE0D4ED" w14:textId="77777777" w:rsidR="00DF628D" w:rsidRDefault="00DF628D" w:rsidP="00DF628D">
      <w:pPr>
        <w:numPr>
          <w:ilvl w:val="1"/>
          <w:numId w:val="50"/>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nejméně 2 roky praxe ve výkonu činnosti TPI na železničních stavbách </w:t>
      </w:r>
    </w:p>
    <w:p w14:paraId="75556CE0" w14:textId="77777777" w:rsidR="00DF628D" w:rsidRDefault="00DF628D" w:rsidP="00DF628D">
      <w:pPr>
        <w:numPr>
          <w:ilvl w:val="1"/>
          <w:numId w:val="50"/>
        </w:numPr>
        <w:autoSpaceDE w:val="0"/>
        <w:autoSpaceDN w:val="0"/>
        <w:spacing w:after="0" w:line="240" w:lineRule="auto"/>
        <w:rPr>
          <w:rFonts w:eastAsia="Times New Roman" w:cs="Times New Roman"/>
          <w:color w:val="000000"/>
          <w:lang w:eastAsia="cs-CZ"/>
        </w:rPr>
      </w:pPr>
      <w:r w:rsidRPr="00CA1D3A">
        <w:rPr>
          <w:rFonts w:eastAsia="Times New Roman" w:cs="Times New Roman"/>
          <w:color w:val="000000"/>
          <w:lang w:eastAsia="cs-CZ"/>
        </w:rPr>
        <w:t>osvědčení o autorizaci (ČR) nebo registraci (zahraničí) v rozsahu dle §5 odst. 3 písm. b) dopravní stavby dle „autorizačního zákona“ ve stupni autorizovaný inženýr dle § 5 odst. 1 dle „autorizačního zákona“</w:t>
      </w:r>
    </w:p>
    <w:p w14:paraId="693EB2FA" w14:textId="77777777" w:rsidR="00DF628D" w:rsidRDefault="00DF628D" w:rsidP="00DF628D">
      <w:pPr>
        <w:numPr>
          <w:ilvl w:val="0"/>
          <w:numId w:val="50"/>
        </w:numPr>
        <w:autoSpaceDE w:val="0"/>
        <w:autoSpaceDN w:val="0"/>
        <w:spacing w:before="120" w:after="0" w:line="240" w:lineRule="auto"/>
        <w:rPr>
          <w:rFonts w:eastAsia="Times New Roman" w:cs="Times New Roman"/>
          <w:i/>
          <w:color w:val="000000"/>
          <w:lang w:eastAsia="cs-CZ"/>
        </w:rPr>
      </w:pPr>
      <w:r>
        <w:rPr>
          <w:rFonts w:eastAsia="Times New Roman" w:cs="Times New Roman"/>
          <w:color w:val="000000"/>
          <w:lang w:eastAsia="cs-CZ"/>
        </w:rPr>
        <w:t>Zástupce vedoucího TPI</w:t>
      </w:r>
    </w:p>
    <w:p w14:paraId="2565065A" w14:textId="77777777" w:rsidR="00DF628D" w:rsidRPr="00227B6D" w:rsidRDefault="00DF628D" w:rsidP="00DF628D">
      <w:pPr>
        <w:numPr>
          <w:ilvl w:val="1"/>
          <w:numId w:val="50"/>
        </w:numPr>
        <w:autoSpaceDE w:val="0"/>
        <w:autoSpaceDN w:val="0"/>
        <w:spacing w:after="0" w:line="240" w:lineRule="auto"/>
        <w:rPr>
          <w:rFonts w:eastAsia="Times New Roman" w:cs="Times New Roman"/>
          <w:i/>
          <w:color w:val="000000"/>
          <w:lang w:eastAsia="cs-CZ"/>
        </w:rPr>
      </w:pPr>
      <w:r>
        <w:rPr>
          <w:rFonts w:eastAsia="Times New Roman" w:cs="Times New Roman"/>
          <w:color w:val="000000"/>
          <w:lang w:eastAsia="cs-CZ"/>
        </w:rPr>
        <w:t>nejméně 2 roky praxe ve výkonu činnosti TPI na železničních stavbách</w:t>
      </w:r>
    </w:p>
    <w:p w14:paraId="777D1121" w14:textId="2FB162E5" w:rsidR="00DF628D" w:rsidRPr="004F51A2" w:rsidRDefault="00DF628D" w:rsidP="00DF628D">
      <w:pPr>
        <w:numPr>
          <w:ilvl w:val="1"/>
          <w:numId w:val="50"/>
        </w:numPr>
        <w:autoSpaceDE w:val="0"/>
        <w:autoSpaceDN w:val="0"/>
        <w:spacing w:after="0" w:line="240" w:lineRule="auto"/>
        <w:rPr>
          <w:b/>
          <w:szCs w:val="20"/>
        </w:rPr>
      </w:pPr>
      <w:r w:rsidRPr="00CA1D3A">
        <w:rPr>
          <w:rFonts w:eastAsia="Times New Roman" w:cs="Times New Roman"/>
          <w:color w:val="000000"/>
          <w:lang w:eastAsia="cs-CZ"/>
        </w:rPr>
        <w:t>osvědčení o autorizaci (ČR) nebo registraci (zahraničí) v rozsahu dle §5 odst. 3 písm. b) dopravní stavby dle „autorizačního zákona“ minimálně ve stupni autorizovaný technik dle § 5 odst. 2 dle „autorizačního zákona“</w:t>
      </w:r>
    </w:p>
    <w:p w14:paraId="35472149" w14:textId="62C4F499" w:rsidR="005F66B0" w:rsidRPr="004F51A2" w:rsidRDefault="005F66B0" w:rsidP="005F66B0">
      <w:pPr>
        <w:spacing w:after="0" w:line="240" w:lineRule="auto"/>
        <w:ind w:left="426"/>
        <w:jc w:val="both"/>
        <w:rPr>
          <w:b/>
          <w:szCs w:val="20"/>
        </w:rPr>
      </w:pPr>
    </w:p>
    <w:p w14:paraId="02A41021" w14:textId="14B581FD"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290500">
      <w:pPr>
        <w:pStyle w:val="Textbezslovn"/>
        <w:spacing w:line="240" w:lineRule="auto"/>
        <w:ind w:left="425"/>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117DA2">
      <w:pPr>
        <w:pStyle w:val="Odrka1-1"/>
        <w:spacing w:line="240" w:lineRule="auto"/>
        <w:ind w:left="851"/>
      </w:pPr>
      <w:r>
        <w:t>základní způsobilost podle čl. 9.1 písm. a) této Výzvy, a to způsobem uvedeným v čl. 9.1 této Výzvy.</w:t>
      </w:r>
    </w:p>
    <w:p w14:paraId="2362847A" w14:textId="13238A45" w:rsidR="00D1643C" w:rsidRDefault="00D1643C" w:rsidP="00290500">
      <w:pPr>
        <w:pStyle w:val="Textbezslovn"/>
        <w:spacing w:line="240" w:lineRule="auto"/>
        <w:ind w:left="425"/>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290500">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290500">
      <w:pPr>
        <w:pStyle w:val="Textbezslovn"/>
        <w:spacing w:line="240" w:lineRule="auto"/>
        <w:ind w:left="425"/>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5F66B0">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A8B0BC0"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w:t>
      </w:r>
      <w:r w:rsidRPr="00F01FED">
        <w:rPr>
          <w:rFonts w:eastAsia="Times New Roman" w:cs="Times New Roman"/>
          <w:lang w:eastAsia="cs-CZ"/>
        </w:rPr>
        <w:lastRenderedPageBreak/>
        <w:t>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290500">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E726CEA" w14:textId="77777777" w:rsidR="00DF628D" w:rsidRDefault="00DF628D" w:rsidP="00F01FED">
      <w:pPr>
        <w:spacing w:before="120" w:after="0" w:line="240" w:lineRule="auto"/>
        <w:ind w:left="425"/>
        <w:jc w:val="both"/>
        <w:rPr>
          <w:rFonts w:eastAsia="Times New Roman" w:cs="Times New Roman"/>
          <w:lang w:eastAsia="cs-CZ"/>
        </w:rPr>
      </w:pPr>
    </w:p>
    <w:p w14:paraId="41A516CE" w14:textId="7BD3D5B8"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43617E8A" w:rsidR="00C6571A" w:rsidRPr="00FC44E6" w:rsidRDefault="00C6571A" w:rsidP="0029050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29050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0168585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w:t>
      </w:r>
      <w:r w:rsidRPr="00FC44E6">
        <w:rPr>
          <w:rFonts w:eastAsia="Times New Roman" w:cs="Times New Roman"/>
          <w:lang w:eastAsia="cs-CZ"/>
        </w:rPr>
        <w:lastRenderedPageBreak/>
        <w:t>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396062C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w:t>
      </w:r>
      <w:r w:rsidR="003344A0">
        <w:rPr>
          <w:rFonts w:eastAsia="Times New Roman" w:cs="Times New Roman"/>
          <w:lang w:eastAsia="cs-CZ"/>
        </w:rPr>
        <w:t>i</w:t>
      </w:r>
      <w:r w:rsidRPr="00FC44E6">
        <w:rPr>
          <w:rFonts w:eastAsia="Times New Roman" w:cs="Times New Roman"/>
          <w:lang w:eastAsia="cs-CZ"/>
        </w:rPr>
        <w:t xml:space="preserve"> nebo profesní způsobilost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4105E84F"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E36593">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Default="00D36485" w:rsidP="00C6571A">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1417D920" w14:textId="77777777" w:rsidR="0011130C" w:rsidRPr="00FC44E6" w:rsidRDefault="0011130C" w:rsidP="00C6571A">
      <w:pPr>
        <w:spacing w:before="120" w:after="0" w:line="240" w:lineRule="auto"/>
        <w:ind w:left="425"/>
        <w:jc w:val="both"/>
        <w:rPr>
          <w:rFonts w:eastAsia="Times New Roman" w:cs="Times New Roman"/>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lastRenderedPageBreak/>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413A3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413A3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19810AF8" w:rsidR="00F01FED" w:rsidRPr="00413A32"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13A32">
        <w:rPr>
          <w:rFonts w:eastAsia="Times New Roman" w:cs="Times New Roman"/>
          <w:lang w:eastAsia="cs-CZ"/>
        </w:rPr>
        <w:t xml:space="preserve">v čl. </w:t>
      </w:r>
      <w:r w:rsidR="00CE6E64" w:rsidRPr="00413A32">
        <w:rPr>
          <w:rFonts w:eastAsia="Times New Roman" w:cs="Times New Roman"/>
          <w:lang w:eastAsia="cs-CZ"/>
        </w:rPr>
        <w:t>3</w:t>
      </w:r>
      <w:r w:rsidRPr="00413A32">
        <w:rPr>
          <w:rFonts w:eastAsia="Times New Roman" w:cs="Times New Roman"/>
          <w:lang w:eastAsia="cs-CZ"/>
        </w:rPr>
        <w:t>.</w:t>
      </w:r>
      <w:r w:rsidR="00CE6E64" w:rsidRPr="00413A32">
        <w:rPr>
          <w:rFonts w:eastAsia="Times New Roman" w:cs="Times New Roman"/>
          <w:lang w:eastAsia="cs-CZ"/>
        </w:rPr>
        <w:t xml:space="preserve">3 </w:t>
      </w:r>
      <w:r w:rsidRPr="00413A32">
        <w:rPr>
          <w:rFonts w:eastAsia="Times New Roman" w:cs="Times New Roman"/>
          <w:lang w:eastAsia="cs-CZ"/>
        </w:rPr>
        <w:t>závazného vzoru smlouvy.</w:t>
      </w:r>
    </w:p>
    <w:p w14:paraId="3CFA324E" w14:textId="677A6C94" w:rsidR="00144379" w:rsidRDefault="00144379" w:rsidP="00204C1E">
      <w:pPr>
        <w:spacing w:before="120" w:after="0" w:line="240" w:lineRule="auto"/>
        <w:ind w:left="425"/>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413A3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413A32">
        <w:rPr>
          <w:rFonts w:cs="Arial"/>
          <w:b/>
        </w:rPr>
        <w:t>Nabídky lze podat v termínu, který je uveden na profilu zadavatele:</w:t>
      </w:r>
      <w:r w:rsidRPr="00413A32">
        <w:rPr>
          <w:rFonts w:cs="Arial"/>
        </w:rPr>
        <w:t xml:space="preserve"> </w:t>
      </w:r>
      <w:hyperlink r:id="rId16" w:history="1">
        <w:r w:rsidRPr="00413A32">
          <w:rPr>
            <w:rStyle w:val="Hypertextovodkaz"/>
            <w:rFonts w:cs="Arial"/>
            <w:b/>
            <w:bCs/>
            <w:lang w:eastAsia="cs-CZ"/>
          </w:rPr>
          <w:t>https://zakazky.spravazeleznic.cz/</w:t>
        </w:r>
      </w:hyperlink>
      <w:r w:rsidRPr="00413A32">
        <w:rPr>
          <w:rFonts w:cs="Arial"/>
          <w:b/>
        </w:rPr>
        <w:t>.</w:t>
      </w:r>
    </w:p>
    <w:p w14:paraId="1603AF8B" w14:textId="6BC3D775" w:rsidR="00F01FED" w:rsidRPr="00F01FED" w:rsidRDefault="00F01FED" w:rsidP="00DF48AA">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w:t>
      </w:r>
      <w:r w:rsidR="005D736F" w:rsidRPr="009B745D">
        <w:rPr>
          <w:rFonts w:eastAsia="Times New Roman" w:cs="Times New Roman"/>
          <w:lang w:eastAsia="cs-CZ"/>
        </w:rPr>
        <w:lastRenderedPageBreak/>
        <w:t xml:space="preserve">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3344A0">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020C480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13A3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13A32">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41BA3499"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2A3601">
        <w:rPr>
          <w:rFonts w:eastAsia="Times New Roman" w:cs="Times New Roman"/>
          <w:lang w:eastAsia="cs-CZ"/>
        </w:rPr>
        <w:t xml:space="preserve">formuláře dle </w:t>
      </w:r>
      <w:r w:rsidR="002A3601" w:rsidRPr="002F1459">
        <w:rPr>
          <w:rFonts w:eastAsia="Times New Roman" w:cs="Times New Roman"/>
          <w:lang w:eastAsia="cs-CZ"/>
        </w:rPr>
        <w:t xml:space="preserve">Přílohy </w:t>
      </w:r>
      <w:r w:rsidR="002A3601" w:rsidRPr="005805E0">
        <w:rPr>
          <w:rFonts w:eastAsia="Times New Roman" w:cs="Times New Roman"/>
          <w:lang w:eastAsia="cs-CZ"/>
        </w:rPr>
        <w:t xml:space="preserve">č. </w:t>
      </w:r>
      <w:r w:rsidR="002A3601">
        <w:rPr>
          <w:rFonts w:eastAsia="Times New Roman" w:cs="Times New Roman"/>
          <w:lang w:eastAsia="cs-CZ"/>
        </w:rPr>
        <w:t>3 této Výzvy</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13A32">
        <w:rPr>
          <w:rFonts w:eastAsia="Calibri" w:cs="Times New Roman"/>
          <w:lang w:eastAsia="cs-CZ"/>
        </w:rPr>
        <w:t xml:space="preserve">čl. </w:t>
      </w:r>
      <w:r w:rsidR="00CF65EE" w:rsidRPr="00413A32">
        <w:rPr>
          <w:rFonts w:eastAsia="Calibri" w:cs="Times New Roman"/>
          <w:lang w:eastAsia="cs-CZ"/>
        </w:rPr>
        <w:t>3.3</w:t>
      </w:r>
      <w:r w:rsidRPr="00413A32">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13A32">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413A32">
        <w:rPr>
          <w:rFonts w:eastAsia="Times New Roman" w:cs="Times New Roman"/>
          <w:lang w:eastAsia="cs-CZ"/>
        </w:rPr>
        <w:t xml:space="preserve">Tato nabídková cena bude doložena i příslušnou </w:t>
      </w:r>
      <w:r w:rsidRPr="00413A32">
        <w:rPr>
          <w:rFonts w:eastAsia="Times New Roman" w:cs="Times New Roman"/>
          <w:b/>
          <w:lang w:eastAsia="cs-CZ"/>
        </w:rPr>
        <w:t>cenovou kalkulací</w:t>
      </w:r>
      <w:r w:rsidRPr="00413A32">
        <w:rPr>
          <w:rFonts w:eastAsia="Times New Roman" w:cs="Times New Roman"/>
          <w:lang w:eastAsia="cs-CZ"/>
        </w:rPr>
        <w:t xml:space="preserve"> v měrných jednotkách, vztahujících se k předmětu zakázky (např. </w:t>
      </w:r>
      <w:proofErr w:type="gramStart"/>
      <w:r w:rsidRPr="00413A32">
        <w:rPr>
          <w:rFonts w:eastAsia="Times New Roman" w:cs="Times New Roman"/>
          <w:lang w:eastAsia="cs-CZ"/>
        </w:rPr>
        <w:t>položka - druh</w:t>
      </w:r>
      <w:proofErr w:type="gramEnd"/>
      <w:r w:rsidRPr="00413A32">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w:t>
      </w:r>
      <w:r w:rsidRPr="00F01FED">
        <w:rPr>
          <w:rFonts w:eastAsia="Times New Roman" w:cs="Times New Roman"/>
          <w:lang w:eastAsia="cs-CZ"/>
        </w:rPr>
        <w:lastRenderedPageBreak/>
        <w:t>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20BDA659"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DF48AA">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19E8985E"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13A32">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413A3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lastRenderedPageBreak/>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204C1E">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F05EA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13A32">
        <w:rPr>
          <w:rFonts w:eastAsia="Times New Roman" w:cs="Times New Roman"/>
          <w:lang w:eastAsia="cs-CZ"/>
        </w:rPr>
        <w:t>režim veřejné zakázky</w:t>
      </w:r>
      <w:r w:rsidR="00413A32" w:rsidRPr="00413A32">
        <w:rPr>
          <w:rFonts w:eastAsia="Times New Roman" w:cs="Times New Roman"/>
          <w:lang w:eastAsia="cs-CZ"/>
        </w:rPr>
        <w:t>,</w:t>
      </w:r>
      <w:r w:rsidR="00413A32">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413A3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5A7C865C"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w:t>
      </w:r>
      <w:r w:rsidRPr="00F01FED">
        <w:rPr>
          <w:rFonts w:eastAsia="Times New Roman" w:cs="Times New Roman"/>
          <w:lang w:eastAsia="cs-CZ"/>
        </w:rPr>
        <w:lastRenderedPageBreak/>
        <w:t>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413A3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C4753F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76C2714"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w:t>
      </w:r>
      <w:r w:rsidRPr="00F01FED">
        <w:rPr>
          <w:rFonts w:eastAsia="Times New Roman" w:cs="Times New Roman"/>
          <w:lang w:eastAsia="cs-CZ"/>
        </w:rPr>
        <w:lastRenderedPageBreak/>
        <w:t>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413A3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4C61B353" w:rsidR="00F36973" w:rsidRDefault="00F36973" w:rsidP="00F36973">
      <w:pPr>
        <w:pStyle w:val="Odrka1-1"/>
        <w:spacing w:after="0" w:line="240" w:lineRule="auto"/>
        <w:ind w:left="567" w:firstLine="0"/>
      </w:pPr>
      <w:r>
        <w:t>porady vedené primárně distančním způsobem</w:t>
      </w:r>
      <w:r w:rsidR="0011130C">
        <w:t>.</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413A32">
        <w:t>4.5 závazného vzoru smlouvy</w:t>
      </w:r>
      <w:r>
        <w:t>, který je součástí zadávací dokumentace.</w:t>
      </w:r>
    </w:p>
    <w:p w14:paraId="03802610" w14:textId="13CA4F74" w:rsidR="00737620" w:rsidRDefault="00737620" w:rsidP="00413A3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DF48AA">
      <w:pPr>
        <w:spacing w:before="120" w:after="12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lastRenderedPageBreak/>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03EAFDD" w:rsidR="00737620" w:rsidRPr="00413A32" w:rsidRDefault="00737620" w:rsidP="00413A32">
      <w:pPr>
        <w:spacing w:before="120" w:after="0" w:line="240" w:lineRule="auto"/>
        <w:ind w:left="567"/>
        <w:jc w:val="both"/>
      </w:pPr>
      <w:r w:rsidRPr="00FA4410">
        <w:t>V případě postupu účastníka v rozporu s</w:t>
      </w:r>
      <w:r>
        <w:t xml:space="preserve"> tímto článkem </w:t>
      </w:r>
      <w:r w:rsidRPr="00FA4410">
        <w:t>bude účastník vyloučen z</w:t>
      </w:r>
      <w:r w:rsidR="00413A32">
        <w:t> </w:t>
      </w:r>
      <w:r>
        <w:t>výběrové</w:t>
      </w:r>
      <w:r w:rsidRPr="00FA4410">
        <w:t>ho řízení</w:t>
      </w:r>
      <w:r>
        <w:t>.</w:t>
      </w:r>
    </w:p>
    <w:p w14:paraId="17D5AAF0" w14:textId="77777777" w:rsidR="00204C1E" w:rsidRDefault="00204C1E" w:rsidP="00C94497">
      <w:pPr>
        <w:autoSpaceDE w:val="0"/>
        <w:autoSpaceDN w:val="0"/>
        <w:adjustRightInd w:val="0"/>
        <w:spacing w:after="0" w:line="320" w:lineRule="atLeast"/>
        <w:jc w:val="both"/>
        <w:rPr>
          <w:rFonts w:eastAsia="Times New Roman" w:cs="Times New Roman"/>
          <w:color w:val="000000"/>
          <w:lang w:eastAsia="cs-CZ"/>
        </w:rPr>
      </w:pPr>
    </w:p>
    <w:p w14:paraId="6A73E301" w14:textId="3AACF23C" w:rsidR="001A6F12" w:rsidRPr="001A6F12" w:rsidRDefault="001A6F12" w:rsidP="0027240E">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02571049" w14:textId="77777777" w:rsidR="00204C1E" w:rsidRDefault="00204C1E"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796F637A" w:rsidR="00D36888" w:rsidRPr="000B6541" w:rsidRDefault="00D36888" w:rsidP="00D36888">
      <w:pPr>
        <w:spacing w:after="120"/>
        <w:jc w:val="both"/>
      </w:pPr>
      <w:r w:rsidRPr="000B6541">
        <w:t xml:space="preserve">Řádně jsme se seznámili se zněním zadávacích podmínek veřejné zakázky s názvem </w:t>
      </w:r>
      <w:r w:rsidR="008A5E28" w:rsidRPr="008911C2">
        <w:rPr>
          <w:b/>
          <w:bCs/>
        </w:rPr>
        <w:t>„</w:t>
      </w:r>
      <w:r w:rsidR="008911C2" w:rsidRPr="000E48E8">
        <w:rPr>
          <w:rFonts w:eastAsia="Times New Roman" w:cs="Arial"/>
          <w:b/>
          <w:bCs/>
          <w:color w:val="000000"/>
          <w:lang w:eastAsia="cs-CZ"/>
        </w:rPr>
        <w:t>Modernizace trati Brno-Přerov, 4. stavba Nezamyslice – Kojetín</w:t>
      </w:r>
      <w:r w:rsidR="008A5E28">
        <w:rPr>
          <w:rFonts w:eastAsia="Times New Roman" w:cs="Arial"/>
          <w:b/>
          <w:bCs/>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61F515C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B2F90" w14:textId="77777777" w:rsidR="00C66C05" w:rsidRDefault="00C66C05" w:rsidP="00962258">
      <w:pPr>
        <w:spacing w:after="0" w:line="240" w:lineRule="auto"/>
      </w:pPr>
      <w:r>
        <w:separator/>
      </w:r>
    </w:p>
  </w:endnote>
  <w:endnote w:type="continuationSeparator" w:id="0">
    <w:p w14:paraId="1BD3E230" w14:textId="77777777" w:rsidR="00C66C05" w:rsidRDefault="00C66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B812C" w14:textId="77777777" w:rsidR="00C66C05" w:rsidRDefault="00C66C05" w:rsidP="00962258">
      <w:pPr>
        <w:spacing w:after="0" w:line="240" w:lineRule="auto"/>
      </w:pPr>
      <w:r>
        <w:separator/>
      </w:r>
    </w:p>
  </w:footnote>
  <w:footnote w:type="continuationSeparator" w:id="0">
    <w:p w14:paraId="50A4BAF1" w14:textId="77777777" w:rsidR="00C66C05" w:rsidRDefault="00C66C05"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3"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4"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5" w15:restartNumberingAfterBreak="0">
    <w:nsid w:val="5B6D21C7"/>
    <w:multiLevelType w:val="hybridMultilevel"/>
    <w:tmpl w:val="33FA697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6"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2"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1"/>
  </w:num>
  <w:num w:numId="2" w16cid:durableId="906502240">
    <w:abstractNumId w:val="2"/>
  </w:num>
  <w:num w:numId="3" w16cid:durableId="860359675">
    <w:abstractNumId w:val="18"/>
  </w:num>
  <w:num w:numId="4" w16cid:durableId="1047608175">
    <w:abstractNumId w:val="39"/>
  </w:num>
  <w:num w:numId="5" w16cid:durableId="1469857494">
    <w:abstractNumId w:val="0"/>
  </w:num>
  <w:num w:numId="6" w16cid:durableId="1682968662">
    <w:abstractNumId w:val="24"/>
  </w:num>
  <w:num w:numId="7" w16cid:durableId="1144009854">
    <w:abstractNumId w:val="38"/>
  </w:num>
  <w:num w:numId="8" w16cid:durableId="1620989250">
    <w:abstractNumId w:val="40"/>
  </w:num>
  <w:num w:numId="9" w16cid:durableId="175118061">
    <w:abstractNumId w:val="26"/>
  </w:num>
  <w:num w:numId="10" w16cid:durableId="847254917">
    <w:abstractNumId w:val="29"/>
  </w:num>
  <w:num w:numId="11" w16cid:durableId="1971016255">
    <w:abstractNumId w:val="19"/>
  </w:num>
  <w:num w:numId="12" w16cid:durableId="523206404">
    <w:abstractNumId w:val="10"/>
  </w:num>
  <w:num w:numId="13" w16cid:durableId="1990280890">
    <w:abstractNumId w:val="27"/>
  </w:num>
  <w:num w:numId="14" w16cid:durableId="304893066">
    <w:abstractNumId w:val="4"/>
  </w:num>
  <w:num w:numId="15" w16cid:durableId="852836963">
    <w:abstractNumId w:val="16"/>
  </w:num>
  <w:num w:numId="16" w16cid:durableId="996298026">
    <w:abstractNumId w:val="12"/>
  </w:num>
  <w:num w:numId="17" w16cid:durableId="1488782006">
    <w:abstractNumId w:val="20"/>
  </w:num>
  <w:num w:numId="18" w16cid:durableId="547030708">
    <w:abstractNumId w:val="43"/>
  </w:num>
  <w:num w:numId="19" w16cid:durableId="830022234">
    <w:abstractNumId w:val="28"/>
  </w:num>
  <w:num w:numId="20" w16cid:durableId="132525087">
    <w:abstractNumId w:val="9"/>
  </w:num>
  <w:num w:numId="21" w16cid:durableId="1615166448">
    <w:abstractNumId w:val="37"/>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1"/>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1"/>
  </w:num>
  <w:num w:numId="26" w16cid:durableId="1659189064">
    <w:abstractNumId w:val="13"/>
  </w:num>
  <w:num w:numId="27" w16cid:durableId="805199001">
    <w:abstractNumId w:val="33"/>
  </w:num>
  <w:num w:numId="28" w16cid:durableId="11889118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30"/>
  </w:num>
  <w:num w:numId="31" w16cid:durableId="1875340362">
    <w:abstractNumId w:val="5"/>
  </w:num>
  <w:num w:numId="32" w16cid:durableId="1275021742">
    <w:abstractNumId w:val="3"/>
  </w:num>
  <w:num w:numId="33" w16cid:durableId="657537527">
    <w:abstractNumId w:val="36"/>
  </w:num>
  <w:num w:numId="34" w16cid:durableId="631860592">
    <w:abstractNumId w:val="7"/>
  </w:num>
  <w:num w:numId="35" w16cid:durableId="609750054">
    <w:abstractNumId w:val="42"/>
  </w:num>
  <w:num w:numId="36" w16cid:durableId="1196500433">
    <w:abstractNumId w:val="21"/>
  </w:num>
  <w:num w:numId="37" w16cid:durableId="1555386040">
    <w:abstractNumId w:val="21"/>
  </w:num>
  <w:num w:numId="38" w16cid:durableId="1583100128">
    <w:abstractNumId w:val="1"/>
  </w:num>
  <w:num w:numId="39" w16cid:durableId="912205101">
    <w:abstractNumId w:val="22"/>
  </w:num>
  <w:num w:numId="40" w16cid:durableId="1016805807">
    <w:abstractNumId w:val="41"/>
  </w:num>
  <w:num w:numId="41" w16cid:durableId="172502747">
    <w:abstractNumId w:val="44"/>
  </w:num>
  <w:num w:numId="42" w16cid:durableId="1308441218">
    <w:abstractNumId w:val="17"/>
    <w:lvlOverride w:ilvl="0">
      <w:startOverride w:val="1"/>
    </w:lvlOverride>
  </w:num>
  <w:num w:numId="43" w16cid:durableId="2134640160">
    <w:abstractNumId w:val="15"/>
  </w:num>
  <w:num w:numId="44" w16cid:durableId="878476110">
    <w:abstractNumId w:val="14"/>
  </w:num>
  <w:num w:numId="45" w16cid:durableId="1888829698">
    <w:abstractNumId w:val="25"/>
  </w:num>
  <w:num w:numId="46" w16cid:durableId="760763411">
    <w:abstractNumId w:val="8"/>
  </w:num>
  <w:num w:numId="47" w16cid:durableId="757559482">
    <w:abstractNumId w:val="35"/>
  </w:num>
  <w:num w:numId="48" w16cid:durableId="1209608268">
    <w:abstractNumId w:val="34"/>
  </w:num>
  <w:num w:numId="49" w16cid:durableId="1395659835">
    <w:abstractNumId w:val="32"/>
  </w:num>
  <w:num w:numId="50" w16cid:durableId="1248147621">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229FF"/>
    <w:rsid w:val="00033432"/>
    <w:rsid w:val="000335CC"/>
    <w:rsid w:val="00033755"/>
    <w:rsid w:val="0006765A"/>
    <w:rsid w:val="000715D2"/>
    <w:rsid w:val="00072C1E"/>
    <w:rsid w:val="00076065"/>
    <w:rsid w:val="000A71D4"/>
    <w:rsid w:val="000B5787"/>
    <w:rsid w:val="000B6C7E"/>
    <w:rsid w:val="000B7907"/>
    <w:rsid w:val="000C0429"/>
    <w:rsid w:val="000C0877"/>
    <w:rsid w:val="000C45E8"/>
    <w:rsid w:val="000C7E81"/>
    <w:rsid w:val="000D7214"/>
    <w:rsid w:val="000D7F1B"/>
    <w:rsid w:val="00102CA9"/>
    <w:rsid w:val="0011130C"/>
    <w:rsid w:val="00114472"/>
    <w:rsid w:val="00117DA2"/>
    <w:rsid w:val="00131F6A"/>
    <w:rsid w:val="001363BE"/>
    <w:rsid w:val="001376BA"/>
    <w:rsid w:val="001426A2"/>
    <w:rsid w:val="00144379"/>
    <w:rsid w:val="0014572A"/>
    <w:rsid w:val="00156112"/>
    <w:rsid w:val="0016689B"/>
    <w:rsid w:val="00170EC5"/>
    <w:rsid w:val="001747C1"/>
    <w:rsid w:val="0017769E"/>
    <w:rsid w:val="00180FD3"/>
    <w:rsid w:val="0018596A"/>
    <w:rsid w:val="0019400D"/>
    <w:rsid w:val="001961D7"/>
    <w:rsid w:val="001A44D0"/>
    <w:rsid w:val="001A6F12"/>
    <w:rsid w:val="001B69C2"/>
    <w:rsid w:val="001C34AE"/>
    <w:rsid w:val="001C4DA0"/>
    <w:rsid w:val="001E275C"/>
    <w:rsid w:val="00204C1E"/>
    <w:rsid w:val="00207DF5"/>
    <w:rsid w:val="0023192B"/>
    <w:rsid w:val="002369F4"/>
    <w:rsid w:val="00245C20"/>
    <w:rsid w:val="00267369"/>
    <w:rsid w:val="0026785D"/>
    <w:rsid w:val="0027240E"/>
    <w:rsid w:val="00290500"/>
    <w:rsid w:val="00291CD1"/>
    <w:rsid w:val="002A1EFE"/>
    <w:rsid w:val="002A3601"/>
    <w:rsid w:val="002C31BF"/>
    <w:rsid w:val="002E0CD7"/>
    <w:rsid w:val="002E7F67"/>
    <w:rsid w:val="002F026B"/>
    <w:rsid w:val="002F1459"/>
    <w:rsid w:val="002F578B"/>
    <w:rsid w:val="00312E93"/>
    <w:rsid w:val="003344A0"/>
    <w:rsid w:val="00347905"/>
    <w:rsid w:val="0035712B"/>
    <w:rsid w:val="00357BC6"/>
    <w:rsid w:val="00364D1A"/>
    <w:rsid w:val="0037111D"/>
    <w:rsid w:val="00373A5D"/>
    <w:rsid w:val="003937FF"/>
    <w:rsid w:val="003956C6"/>
    <w:rsid w:val="003A1D19"/>
    <w:rsid w:val="003A5FD6"/>
    <w:rsid w:val="003C1AC7"/>
    <w:rsid w:val="003D3B2E"/>
    <w:rsid w:val="003D5599"/>
    <w:rsid w:val="003D631C"/>
    <w:rsid w:val="003E6B9A"/>
    <w:rsid w:val="003E75CE"/>
    <w:rsid w:val="003F5AA2"/>
    <w:rsid w:val="00413630"/>
    <w:rsid w:val="0041380F"/>
    <w:rsid w:val="00413A32"/>
    <w:rsid w:val="0043153D"/>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369B"/>
    <w:rsid w:val="004C4399"/>
    <w:rsid w:val="004C69ED"/>
    <w:rsid w:val="004C787C"/>
    <w:rsid w:val="004D4063"/>
    <w:rsid w:val="004D5B63"/>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5EE9"/>
    <w:rsid w:val="005C7112"/>
    <w:rsid w:val="005D6A5D"/>
    <w:rsid w:val="005D736F"/>
    <w:rsid w:val="005E0F20"/>
    <w:rsid w:val="005E3069"/>
    <w:rsid w:val="005F01E0"/>
    <w:rsid w:val="005F2CFF"/>
    <w:rsid w:val="005F66B0"/>
    <w:rsid w:val="005F6805"/>
    <w:rsid w:val="006104F6"/>
    <w:rsid w:val="0061068E"/>
    <w:rsid w:val="00611563"/>
    <w:rsid w:val="00621F7A"/>
    <w:rsid w:val="0063427B"/>
    <w:rsid w:val="006400AF"/>
    <w:rsid w:val="006456CC"/>
    <w:rsid w:val="00654C7D"/>
    <w:rsid w:val="0066034C"/>
    <w:rsid w:val="00660AD3"/>
    <w:rsid w:val="00665AC0"/>
    <w:rsid w:val="006664C5"/>
    <w:rsid w:val="0066678C"/>
    <w:rsid w:val="006701EE"/>
    <w:rsid w:val="006741F3"/>
    <w:rsid w:val="0067766B"/>
    <w:rsid w:val="00694044"/>
    <w:rsid w:val="006974BB"/>
    <w:rsid w:val="006A5570"/>
    <w:rsid w:val="006A689C"/>
    <w:rsid w:val="006B3D79"/>
    <w:rsid w:val="006E0578"/>
    <w:rsid w:val="006E1194"/>
    <w:rsid w:val="006E314D"/>
    <w:rsid w:val="006E7F06"/>
    <w:rsid w:val="006F27E1"/>
    <w:rsid w:val="006F5764"/>
    <w:rsid w:val="00710723"/>
    <w:rsid w:val="0071120E"/>
    <w:rsid w:val="00723ED1"/>
    <w:rsid w:val="00735ED4"/>
    <w:rsid w:val="00737620"/>
    <w:rsid w:val="00743525"/>
    <w:rsid w:val="0074411B"/>
    <w:rsid w:val="007531A0"/>
    <w:rsid w:val="0076286B"/>
    <w:rsid w:val="00764595"/>
    <w:rsid w:val="00766846"/>
    <w:rsid w:val="007744EB"/>
    <w:rsid w:val="0077673A"/>
    <w:rsid w:val="007846E1"/>
    <w:rsid w:val="007A4F80"/>
    <w:rsid w:val="007B3917"/>
    <w:rsid w:val="007B570C"/>
    <w:rsid w:val="007C14FB"/>
    <w:rsid w:val="007C4324"/>
    <w:rsid w:val="007D73EC"/>
    <w:rsid w:val="007E4A6E"/>
    <w:rsid w:val="007F56A7"/>
    <w:rsid w:val="00807DD0"/>
    <w:rsid w:val="00811FE1"/>
    <w:rsid w:val="00813F11"/>
    <w:rsid w:val="0083049F"/>
    <w:rsid w:val="00830750"/>
    <w:rsid w:val="00832521"/>
    <w:rsid w:val="00832B4A"/>
    <w:rsid w:val="00843342"/>
    <w:rsid w:val="00844BE9"/>
    <w:rsid w:val="00852623"/>
    <w:rsid w:val="00853B4C"/>
    <w:rsid w:val="00873EEC"/>
    <w:rsid w:val="008866DB"/>
    <w:rsid w:val="008911C2"/>
    <w:rsid w:val="00891334"/>
    <w:rsid w:val="008A3568"/>
    <w:rsid w:val="008A5E28"/>
    <w:rsid w:val="008C18B9"/>
    <w:rsid w:val="008D03B9"/>
    <w:rsid w:val="008D5ABC"/>
    <w:rsid w:val="008E7782"/>
    <w:rsid w:val="008F13B4"/>
    <w:rsid w:val="008F18D6"/>
    <w:rsid w:val="00904780"/>
    <w:rsid w:val="009113A8"/>
    <w:rsid w:val="00911A4E"/>
    <w:rsid w:val="00922385"/>
    <w:rsid w:val="009223DF"/>
    <w:rsid w:val="009339FF"/>
    <w:rsid w:val="00936091"/>
    <w:rsid w:val="00940D8A"/>
    <w:rsid w:val="00945854"/>
    <w:rsid w:val="009563E3"/>
    <w:rsid w:val="00962258"/>
    <w:rsid w:val="009678B7"/>
    <w:rsid w:val="00970F76"/>
    <w:rsid w:val="00971595"/>
    <w:rsid w:val="00982411"/>
    <w:rsid w:val="00982E5E"/>
    <w:rsid w:val="00991C88"/>
    <w:rsid w:val="00992D9C"/>
    <w:rsid w:val="00996CB8"/>
    <w:rsid w:val="009A5449"/>
    <w:rsid w:val="009A7568"/>
    <w:rsid w:val="009B2E97"/>
    <w:rsid w:val="009B72CC"/>
    <w:rsid w:val="009C2B8D"/>
    <w:rsid w:val="009D1903"/>
    <w:rsid w:val="009E07F4"/>
    <w:rsid w:val="009F392E"/>
    <w:rsid w:val="009F41F9"/>
    <w:rsid w:val="009F5D3E"/>
    <w:rsid w:val="00A02B1A"/>
    <w:rsid w:val="00A10D8A"/>
    <w:rsid w:val="00A11738"/>
    <w:rsid w:val="00A167B8"/>
    <w:rsid w:val="00A2158A"/>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F374D"/>
    <w:rsid w:val="00C02D0A"/>
    <w:rsid w:val="00C03A6E"/>
    <w:rsid w:val="00C17519"/>
    <w:rsid w:val="00C274CC"/>
    <w:rsid w:val="00C30759"/>
    <w:rsid w:val="00C35196"/>
    <w:rsid w:val="00C44F6A"/>
    <w:rsid w:val="00C6571A"/>
    <w:rsid w:val="00C66C05"/>
    <w:rsid w:val="00C727E5"/>
    <w:rsid w:val="00C8207D"/>
    <w:rsid w:val="00C8209B"/>
    <w:rsid w:val="00C879BF"/>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52766"/>
    <w:rsid w:val="00D60152"/>
    <w:rsid w:val="00D6163D"/>
    <w:rsid w:val="00D63009"/>
    <w:rsid w:val="00D82840"/>
    <w:rsid w:val="00D831A3"/>
    <w:rsid w:val="00D902AD"/>
    <w:rsid w:val="00DA3EC3"/>
    <w:rsid w:val="00DA6FFE"/>
    <w:rsid w:val="00DC3110"/>
    <w:rsid w:val="00DD46F3"/>
    <w:rsid w:val="00DD58A6"/>
    <w:rsid w:val="00DD7B26"/>
    <w:rsid w:val="00DE56F2"/>
    <w:rsid w:val="00DF116D"/>
    <w:rsid w:val="00DF48AA"/>
    <w:rsid w:val="00DF48C3"/>
    <w:rsid w:val="00DF628D"/>
    <w:rsid w:val="00DF687A"/>
    <w:rsid w:val="00E052A1"/>
    <w:rsid w:val="00E17B4F"/>
    <w:rsid w:val="00E20780"/>
    <w:rsid w:val="00E36593"/>
    <w:rsid w:val="00E824F1"/>
    <w:rsid w:val="00E827D0"/>
    <w:rsid w:val="00E939FD"/>
    <w:rsid w:val="00E94C44"/>
    <w:rsid w:val="00EA26ED"/>
    <w:rsid w:val="00EB104F"/>
    <w:rsid w:val="00ED14BD"/>
    <w:rsid w:val="00EE02E5"/>
    <w:rsid w:val="00EE4859"/>
    <w:rsid w:val="00F01440"/>
    <w:rsid w:val="00F01F4A"/>
    <w:rsid w:val="00F01FED"/>
    <w:rsid w:val="00F04B77"/>
    <w:rsid w:val="00F050D1"/>
    <w:rsid w:val="00F12DEC"/>
    <w:rsid w:val="00F1715C"/>
    <w:rsid w:val="00F24DBC"/>
    <w:rsid w:val="00F310F8"/>
    <w:rsid w:val="00F35939"/>
    <w:rsid w:val="00F36973"/>
    <w:rsid w:val="00F43783"/>
    <w:rsid w:val="00F45607"/>
    <w:rsid w:val="00F50EFC"/>
    <w:rsid w:val="00F512D8"/>
    <w:rsid w:val="00F645EF"/>
    <w:rsid w:val="00F64786"/>
    <w:rsid w:val="00F659EB"/>
    <w:rsid w:val="00F71D74"/>
    <w:rsid w:val="00F804A7"/>
    <w:rsid w:val="00F862D6"/>
    <w:rsid w:val="00F86BA6"/>
    <w:rsid w:val="00F90A56"/>
    <w:rsid w:val="00F953A5"/>
    <w:rsid w:val="00F96B5F"/>
    <w:rsid w:val="00FA0E29"/>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character" w:styleId="Nevyeenzmnka">
    <w:name w:val="Unresolved Mention"/>
    <w:basedOn w:val="Standardnpsmoodstavce"/>
    <w:uiPriority w:val="99"/>
    <w:semiHidden/>
    <w:unhideWhenUsed/>
    <w:rsid w:val="001E2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TotalTime>
  <Pages>21</Pages>
  <Words>10145</Words>
  <Characters>59857</Characters>
  <Application>Microsoft Office Word</Application>
  <DocSecurity>0</DocSecurity>
  <Lines>498</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16</cp:revision>
  <cp:lastPrinted>2019-02-22T13:28:00Z</cp:lastPrinted>
  <dcterms:created xsi:type="dcterms:W3CDTF">2025-03-05T13:23:00Z</dcterms:created>
  <dcterms:modified xsi:type="dcterms:W3CDTF">2025-03-25T07:28:00Z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